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57519" w:rsidRDefault="00857519">
      <w:pPr>
        <w:widowControl w:val="0"/>
        <w:pBdr>
          <w:top w:val="nil"/>
          <w:left w:val="nil"/>
          <w:bottom w:val="nil"/>
          <w:right w:val="nil"/>
          <w:between w:val="nil"/>
        </w:pBdr>
        <w:spacing w:after="0" w:line="276" w:lineRule="auto"/>
        <w:jc w:val="left"/>
      </w:pPr>
    </w:p>
    <w:p w:rsidR="00857519" w:rsidRDefault="00063E28">
      <w:pPr>
        <w:pBdr>
          <w:top w:val="nil"/>
          <w:left w:val="nil"/>
          <w:bottom w:val="nil"/>
          <w:right w:val="nil"/>
          <w:between w:val="nil"/>
        </w:pBdr>
        <w:tabs>
          <w:tab w:val="center" w:pos="4153"/>
          <w:tab w:val="right" w:pos="8306"/>
          <w:tab w:val="left" w:pos="720"/>
          <w:tab w:val="center" w:pos="4513"/>
          <w:tab w:val="right" w:pos="9026"/>
        </w:tabs>
        <w:spacing w:after="0" w:line="240" w:lineRule="auto"/>
        <w:rPr>
          <w:rFonts w:ascii="Arial" w:eastAsia="Arial" w:hAnsi="Arial" w:cs="Arial"/>
          <w:b/>
          <w:smallCaps/>
          <w:color w:val="000000"/>
          <w:sz w:val="36"/>
          <w:szCs w:val="36"/>
        </w:rPr>
      </w:pPr>
      <w:r>
        <w:rPr>
          <w:rFonts w:ascii="Arial" w:eastAsia="Arial" w:hAnsi="Arial" w:cs="Arial"/>
          <w:b/>
          <w:color w:val="000000"/>
          <w:sz w:val="36"/>
          <w:szCs w:val="36"/>
        </w:rPr>
        <w:t>Call-Off Schedule 5 - Pricing Details</w:t>
      </w:r>
    </w:p>
    <w:p w:rsidR="00857519" w:rsidRDefault="00857519">
      <w:pPr>
        <w:pBdr>
          <w:top w:val="nil"/>
          <w:left w:val="nil"/>
          <w:bottom w:val="nil"/>
          <w:right w:val="nil"/>
          <w:between w:val="nil"/>
        </w:pBdr>
        <w:tabs>
          <w:tab w:val="center" w:pos="4153"/>
          <w:tab w:val="right" w:pos="8306"/>
          <w:tab w:val="left" w:pos="720"/>
          <w:tab w:val="center" w:pos="4513"/>
          <w:tab w:val="right" w:pos="9026"/>
        </w:tabs>
        <w:spacing w:after="0" w:line="240" w:lineRule="auto"/>
        <w:rPr>
          <w:rFonts w:ascii="Arial" w:eastAsia="Arial" w:hAnsi="Arial" w:cs="Arial"/>
          <w:b/>
          <w:smallCaps/>
          <w:color w:val="000000"/>
          <w:sz w:val="24"/>
          <w:szCs w:val="24"/>
        </w:rPr>
      </w:pPr>
    </w:p>
    <w:p w:rsidR="00857519" w:rsidRDefault="00063E28">
      <w:pPr>
        <w:keepNext/>
        <w:spacing w:before="240" w:after="60" w:line="240" w:lineRule="auto"/>
        <w:rPr>
          <w:rFonts w:ascii="Arial" w:eastAsia="Arial" w:hAnsi="Arial" w:cs="Arial"/>
          <w:b/>
        </w:rPr>
      </w:pPr>
      <w:r>
        <w:rPr>
          <w:rFonts w:ascii="Arial" w:eastAsia="Arial" w:hAnsi="Arial" w:cs="Arial"/>
          <w:b/>
        </w:rPr>
        <w:t xml:space="preserve">Variation of Price </w:t>
      </w:r>
    </w:p>
    <w:p w:rsidR="00857519" w:rsidRDefault="00063E28">
      <w:pPr>
        <w:numPr>
          <w:ilvl w:val="0"/>
          <w:numId w:val="1"/>
        </w:numPr>
        <w:spacing w:before="120" w:after="120" w:line="240" w:lineRule="auto"/>
        <w:ind w:left="0" w:firstLine="0"/>
        <w:jc w:val="left"/>
        <w:rPr>
          <w:rFonts w:ascii="Arial" w:eastAsia="Arial" w:hAnsi="Arial" w:cs="Arial"/>
          <w:color w:val="000000"/>
        </w:rPr>
      </w:pPr>
      <w:r>
        <w:rPr>
          <w:rFonts w:ascii="Arial" w:eastAsia="Arial" w:hAnsi="Arial" w:cs="Arial"/>
          <w:color w:val="000000"/>
        </w:rPr>
        <w:t>The Supplier Fees stated in Annex B to this Call-Off Schedule 5 are FIRM (</w:t>
      </w:r>
      <w:r>
        <w:rPr>
          <w:rFonts w:ascii="Arial" w:eastAsia="Arial" w:hAnsi="Arial" w:cs="Arial"/>
        </w:rPr>
        <w:t xml:space="preserve">meaning a price (excluding VAT) which is not subject to </w:t>
      </w:r>
      <w:proofErr w:type="gramStart"/>
      <w:r>
        <w:rPr>
          <w:rFonts w:ascii="Arial" w:eastAsia="Arial" w:hAnsi="Arial" w:cs="Arial"/>
        </w:rPr>
        <w:t>variation)</w:t>
      </w:r>
      <w:r>
        <w:rPr>
          <w:rFonts w:ascii="Arial" w:eastAsia="Arial" w:hAnsi="Arial" w:cs="Arial"/>
          <w:color w:val="000000"/>
        </w:rPr>
        <w:t xml:space="preserve">  for</w:t>
      </w:r>
      <w:proofErr w:type="gramEnd"/>
      <w:r>
        <w:rPr>
          <w:rFonts w:ascii="Arial" w:eastAsia="Arial" w:hAnsi="Arial" w:cs="Arial"/>
          <w:color w:val="000000"/>
        </w:rPr>
        <w:t xml:space="preserve"> Contract years 1, 2 and 3.  The prices do not include provision beyond this date for increases or decreases in the market price of the deliverables being purchased.  Any such variation shall be calculated in accordance with the following formula:</w:t>
      </w:r>
    </w:p>
    <w:p w:rsidR="00857519" w:rsidRDefault="00063E28">
      <w:pPr>
        <w:spacing w:before="100" w:after="100" w:line="240" w:lineRule="auto"/>
        <w:ind w:left="567"/>
        <w:rPr>
          <w:rFonts w:ascii="Arial" w:eastAsia="Arial" w:hAnsi="Arial" w:cs="Arial"/>
          <w:color w:val="000000"/>
        </w:rPr>
      </w:pPr>
      <w:r>
        <w:rPr>
          <w:rFonts w:ascii="Arial" w:eastAsia="Arial" w:hAnsi="Arial" w:cs="Arial"/>
          <w:color w:val="000000"/>
        </w:rPr>
        <w:t>V =</w:t>
      </w:r>
      <w:r>
        <w:rPr>
          <w:rFonts w:ascii="Arial" w:eastAsia="Arial" w:hAnsi="Arial" w:cs="Arial"/>
          <w:color w:val="000000"/>
        </w:rPr>
        <w:t xml:space="preserve"> P (</w:t>
      </w:r>
      <w:proofErr w:type="spellStart"/>
      <w:r>
        <w:rPr>
          <w:rFonts w:ascii="Arial" w:eastAsia="Arial" w:hAnsi="Arial" w:cs="Arial"/>
          <w:color w:val="000000"/>
        </w:rPr>
        <w:t>a+b</w:t>
      </w:r>
      <w:proofErr w:type="spellEnd"/>
      <w:r>
        <w:rPr>
          <w:rFonts w:ascii="Arial" w:eastAsia="Arial" w:hAnsi="Arial" w:cs="Arial"/>
          <w:color w:val="000000"/>
        </w:rPr>
        <w:t>(O</w:t>
      </w:r>
      <w:r>
        <w:rPr>
          <w:rFonts w:ascii="Arial" w:eastAsia="Arial" w:hAnsi="Arial" w:cs="Arial"/>
          <w:color w:val="000000"/>
          <w:vertAlign w:val="subscript"/>
        </w:rPr>
        <w:t>i</w:t>
      </w:r>
      <w:r>
        <w:rPr>
          <w:rFonts w:ascii="Arial" w:eastAsia="Arial" w:hAnsi="Arial" w:cs="Arial"/>
          <w:color w:val="000000"/>
        </w:rPr>
        <w:t>/O</w:t>
      </w:r>
      <w:r>
        <w:rPr>
          <w:rFonts w:ascii="Arial" w:eastAsia="Arial" w:hAnsi="Arial" w:cs="Arial"/>
          <w:color w:val="000000"/>
          <w:vertAlign w:val="subscript"/>
        </w:rPr>
        <w:t>0</w:t>
      </w:r>
      <w:r>
        <w:rPr>
          <w:rFonts w:ascii="Arial" w:eastAsia="Arial" w:hAnsi="Arial" w:cs="Arial"/>
          <w:color w:val="000000"/>
        </w:rPr>
        <w:t xml:space="preserve">)) - P </w:t>
      </w:r>
    </w:p>
    <w:p w:rsidR="00857519" w:rsidRDefault="00063E28">
      <w:pPr>
        <w:spacing w:before="120" w:after="120" w:line="240" w:lineRule="auto"/>
        <w:ind w:left="567"/>
        <w:rPr>
          <w:rFonts w:ascii="Arial" w:eastAsia="Arial" w:hAnsi="Arial" w:cs="Arial"/>
          <w:i/>
          <w:color w:val="000000"/>
        </w:rPr>
      </w:pPr>
      <w:r>
        <w:rPr>
          <w:rFonts w:ascii="Arial" w:eastAsia="Arial" w:hAnsi="Arial" w:cs="Arial"/>
          <w:i/>
          <w:color w:val="000000"/>
        </w:rPr>
        <w:t xml:space="preserve">Where: </w:t>
      </w:r>
    </w:p>
    <w:p w:rsidR="00857519" w:rsidRDefault="00063E28">
      <w:pPr>
        <w:spacing w:before="100" w:after="100" w:line="240" w:lineRule="auto"/>
        <w:ind w:left="567"/>
        <w:rPr>
          <w:rFonts w:ascii="Arial" w:eastAsia="Arial" w:hAnsi="Arial" w:cs="Arial"/>
          <w:color w:val="000000"/>
        </w:rPr>
      </w:pPr>
      <w:r>
        <w:rPr>
          <w:rFonts w:ascii="Arial" w:eastAsia="Arial" w:hAnsi="Arial" w:cs="Arial"/>
          <w:color w:val="000000"/>
        </w:rPr>
        <w:t xml:space="preserve">V represents the variation of price </w:t>
      </w:r>
    </w:p>
    <w:p w:rsidR="00857519" w:rsidRDefault="00063E28">
      <w:pPr>
        <w:spacing w:before="100" w:after="100" w:line="240" w:lineRule="auto"/>
        <w:ind w:left="567"/>
        <w:rPr>
          <w:rFonts w:ascii="Arial" w:eastAsia="Arial" w:hAnsi="Arial" w:cs="Arial"/>
          <w:color w:val="000000"/>
        </w:rPr>
      </w:pPr>
      <w:r>
        <w:rPr>
          <w:rFonts w:ascii="Arial" w:eastAsia="Arial" w:hAnsi="Arial" w:cs="Arial"/>
          <w:color w:val="000000"/>
        </w:rPr>
        <w:t>P represents the FIRM Supplier Fee price as stated in Annex B to this Call-Off Schedule 5</w:t>
      </w:r>
    </w:p>
    <w:p w:rsidR="00857519" w:rsidRDefault="00063E28">
      <w:pPr>
        <w:spacing w:before="100" w:after="100" w:line="240" w:lineRule="auto"/>
        <w:ind w:left="567"/>
        <w:rPr>
          <w:rFonts w:ascii="Arial" w:eastAsia="Arial" w:hAnsi="Arial" w:cs="Arial"/>
          <w:color w:val="000000"/>
        </w:rPr>
      </w:pPr>
      <w:r>
        <w:rPr>
          <w:rFonts w:ascii="Arial" w:eastAsia="Arial" w:hAnsi="Arial" w:cs="Arial"/>
          <w:color w:val="000000"/>
        </w:rPr>
        <w:t>O represents the index HZJ4 SPPI INDEX OUTPUT DOMESTIC - N Administrative and support services 2015=100 (Office of National Statistics (ons.gov.uk))</w:t>
      </w:r>
    </w:p>
    <w:p w:rsidR="00857519" w:rsidRDefault="00063E28">
      <w:pPr>
        <w:pBdr>
          <w:top w:val="nil"/>
          <w:left w:val="nil"/>
          <w:bottom w:val="nil"/>
          <w:right w:val="nil"/>
          <w:between w:val="nil"/>
        </w:pBdr>
        <w:ind w:left="567"/>
        <w:rPr>
          <w:rFonts w:ascii="Arial" w:eastAsia="Arial" w:hAnsi="Arial" w:cs="Arial"/>
          <w:color w:val="000000"/>
        </w:rPr>
      </w:pPr>
      <w:r>
        <w:rPr>
          <w:rFonts w:ascii="Arial" w:eastAsia="Arial" w:hAnsi="Arial" w:cs="Arial"/>
          <w:color w:val="000000"/>
        </w:rPr>
        <w:t>O</w:t>
      </w:r>
      <w:r>
        <w:rPr>
          <w:rFonts w:ascii="Arial" w:eastAsia="Arial" w:hAnsi="Arial" w:cs="Arial"/>
          <w:color w:val="000000"/>
          <w:vertAlign w:val="subscript"/>
        </w:rPr>
        <w:t>0</w:t>
      </w:r>
      <w:r>
        <w:rPr>
          <w:rFonts w:ascii="Arial" w:eastAsia="Arial" w:hAnsi="Arial" w:cs="Arial"/>
          <w:color w:val="000000"/>
        </w:rPr>
        <w:t xml:space="preserve"> represents the </w:t>
      </w:r>
      <w:r>
        <w:rPr>
          <w:rFonts w:ascii="Arial" w:eastAsia="Arial" w:hAnsi="Arial" w:cs="Arial"/>
          <w:color w:val="000000"/>
          <w:highlight w:val="white"/>
        </w:rPr>
        <w:t>12-month</w:t>
      </w:r>
      <w:r>
        <w:rPr>
          <w:rFonts w:ascii="Arial" w:eastAsia="Arial" w:hAnsi="Arial" w:cs="Arial"/>
          <w:color w:val="000000"/>
        </w:rPr>
        <w:t xml:space="preserve"> average OUTPUT Price Index figure for the base period – the first Contract year</w:t>
      </w:r>
      <w:r>
        <w:rPr>
          <w:rFonts w:ascii="Arial" w:eastAsia="Arial" w:hAnsi="Arial" w:cs="Arial"/>
          <w:color w:val="000000"/>
          <w:highlight w:val="white"/>
        </w:rPr>
        <w:t xml:space="preserve"> (</w:t>
      </w:r>
      <w:r>
        <w:rPr>
          <w:rFonts w:ascii="Arial" w:eastAsia="Arial" w:hAnsi="Arial" w:cs="Arial"/>
          <w:color w:val="000000"/>
          <w:highlight w:val="yellow"/>
        </w:rPr>
        <w:t>24/12/2024 to 23/12/2025</w:t>
      </w:r>
      <w:r>
        <w:rPr>
          <w:rFonts w:ascii="Arial" w:eastAsia="Arial" w:hAnsi="Arial" w:cs="Arial"/>
          <w:color w:val="000000"/>
          <w:highlight w:val="white"/>
        </w:rPr>
        <w:t>)</w:t>
      </w:r>
    </w:p>
    <w:p w:rsidR="00857519" w:rsidRDefault="00063E28">
      <w:pPr>
        <w:spacing w:before="100" w:after="100" w:line="240" w:lineRule="auto"/>
        <w:ind w:left="567"/>
        <w:rPr>
          <w:rFonts w:ascii="Arial" w:eastAsia="Arial" w:hAnsi="Arial" w:cs="Arial"/>
          <w:color w:val="000000"/>
        </w:rPr>
      </w:pPr>
      <w:r>
        <w:rPr>
          <w:rFonts w:ascii="Arial" w:eastAsia="Arial" w:hAnsi="Arial" w:cs="Arial"/>
          <w:color w:val="000000"/>
        </w:rPr>
        <w:t>O</w:t>
      </w:r>
      <w:r>
        <w:rPr>
          <w:rFonts w:ascii="Arial" w:eastAsia="Arial" w:hAnsi="Arial" w:cs="Arial"/>
          <w:color w:val="000000"/>
          <w:vertAlign w:val="subscript"/>
        </w:rPr>
        <w:t>i</w:t>
      </w:r>
      <w:r>
        <w:rPr>
          <w:rFonts w:ascii="Arial" w:eastAsia="Arial" w:hAnsi="Arial" w:cs="Arial"/>
          <w:color w:val="000000"/>
        </w:rPr>
        <w:t xml:space="preserve"> represents the </w:t>
      </w:r>
      <w:r>
        <w:rPr>
          <w:rFonts w:ascii="Arial" w:eastAsia="Arial" w:hAnsi="Arial" w:cs="Arial"/>
          <w:color w:val="000000"/>
          <w:highlight w:val="white"/>
        </w:rPr>
        <w:t>12-month</w:t>
      </w:r>
      <w:r>
        <w:rPr>
          <w:rFonts w:ascii="Arial" w:eastAsia="Arial" w:hAnsi="Arial" w:cs="Arial"/>
          <w:color w:val="000000"/>
        </w:rPr>
        <w:t xml:space="preserve"> average OUTPUT Price Index figure for Contract year 3 (24/12/2026 23/12/2027)</w:t>
      </w:r>
    </w:p>
    <w:p w:rsidR="00857519" w:rsidRDefault="00063E28">
      <w:pPr>
        <w:spacing w:before="100" w:after="100" w:line="240" w:lineRule="auto"/>
        <w:ind w:left="567"/>
        <w:rPr>
          <w:rFonts w:ascii="Arial" w:eastAsia="Arial" w:hAnsi="Arial" w:cs="Arial"/>
          <w:color w:val="000000"/>
        </w:rPr>
      </w:pPr>
      <w:r>
        <w:rPr>
          <w:rFonts w:ascii="Arial" w:eastAsia="Arial" w:hAnsi="Arial" w:cs="Arial"/>
          <w:color w:val="000000"/>
        </w:rPr>
        <w:t>a represents the Non-Variable Element (NVE) – this is 0.00</w:t>
      </w:r>
    </w:p>
    <w:p w:rsidR="00857519" w:rsidRDefault="00063E28">
      <w:pPr>
        <w:spacing w:before="100" w:after="100" w:line="240" w:lineRule="auto"/>
        <w:ind w:left="567"/>
        <w:rPr>
          <w:rFonts w:ascii="Arial" w:eastAsia="Arial" w:hAnsi="Arial" w:cs="Arial"/>
          <w:color w:val="000000"/>
        </w:rPr>
      </w:pPr>
      <w:r>
        <w:rPr>
          <w:rFonts w:ascii="Arial" w:eastAsia="Arial" w:hAnsi="Arial" w:cs="Arial"/>
          <w:color w:val="000000"/>
        </w:rPr>
        <w:t>b represents the Variable Element – this is 1.00</w:t>
      </w:r>
    </w:p>
    <w:p w:rsidR="00857519" w:rsidRDefault="00063E28">
      <w:pPr>
        <w:spacing w:before="100" w:after="100" w:line="240" w:lineRule="auto"/>
        <w:ind w:left="567"/>
        <w:rPr>
          <w:rFonts w:ascii="Arial" w:eastAsia="Arial" w:hAnsi="Arial" w:cs="Arial"/>
          <w:color w:val="000000"/>
        </w:rPr>
      </w:pPr>
      <w:proofErr w:type="spellStart"/>
      <w:r>
        <w:rPr>
          <w:rFonts w:ascii="Arial" w:eastAsia="Arial" w:hAnsi="Arial" w:cs="Arial"/>
          <w:color w:val="000000"/>
        </w:rPr>
        <w:t>a+b</w:t>
      </w:r>
      <w:proofErr w:type="spellEnd"/>
      <w:r>
        <w:rPr>
          <w:rFonts w:ascii="Arial" w:eastAsia="Arial" w:hAnsi="Arial" w:cs="Arial"/>
          <w:color w:val="000000"/>
        </w:rPr>
        <w:t xml:space="preserve">=1 </w:t>
      </w:r>
    </w:p>
    <w:p w:rsidR="00857519" w:rsidRDefault="00063E28">
      <w:pPr>
        <w:numPr>
          <w:ilvl w:val="0"/>
          <w:numId w:val="1"/>
        </w:numPr>
        <w:spacing w:before="120" w:after="120" w:line="240" w:lineRule="auto"/>
        <w:ind w:left="0" w:firstLine="0"/>
        <w:jc w:val="left"/>
        <w:rPr>
          <w:rFonts w:ascii="Arial" w:eastAsia="Arial" w:hAnsi="Arial" w:cs="Arial"/>
          <w:color w:val="000000"/>
        </w:rPr>
      </w:pPr>
      <w:r>
        <w:rPr>
          <w:rFonts w:ascii="Arial" w:eastAsia="Arial" w:hAnsi="Arial" w:cs="Arial"/>
          <w:color w:val="000000"/>
        </w:rPr>
        <w:t>The Inde</w:t>
      </w:r>
      <w:r>
        <w:rPr>
          <w:rFonts w:ascii="Arial" w:eastAsia="Arial" w:hAnsi="Arial" w:cs="Arial"/>
          <w:color w:val="000000"/>
        </w:rPr>
        <w:t xml:space="preserve">x referred to in Clause 1 above shall be taken from the following Tables: </w:t>
      </w:r>
    </w:p>
    <w:p w:rsidR="00857519" w:rsidRDefault="00063E28">
      <w:pPr>
        <w:spacing w:before="100" w:after="100" w:line="240" w:lineRule="auto"/>
        <w:ind w:left="567"/>
        <w:rPr>
          <w:rFonts w:ascii="Arial" w:eastAsia="Arial" w:hAnsi="Arial" w:cs="Arial"/>
          <w:color w:val="000000"/>
        </w:rPr>
      </w:pPr>
      <w:r>
        <w:rPr>
          <w:rFonts w:ascii="Arial" w:eastAsia="Arial" w:hAnsi="Arial" w:cs="Arial"/>
          <w:color w:val="000000"/>
        </w:rPr>
        <w:t>OUTPUT Price Index - e.g. ONS Publication MM22 Table 2 'Price Indices of UK OUTPUT: All Manufacturing and Selected Industries', or Table 4 'Price Indices of Products Manufactured in</w:t>
      </w:r>
      <w:r>
        <w:rPr>
          <w:rFonts w:ascii="Arial" w:eastAsia="Arial" w:hAnsi="Arial" w:cs="Arial"/>
          <w:color w:val="000000"/>
        </w:rPr>
        <w:t xml:space="preserve"> the UK'. </w:t>
      </w:r>
    </w:p>
    <w:p w:rsidR="00857519" w:rsidRDefault="00063E28">
      <w:pPr>
        <w:numPr>
          <w:ilvl w:val="0"/>
          <w:numId w:val="1"/>
        </w:numPr>
        <w:spacing w:before="120" w:after="120" w:line="240" w:lineRule="auto"/>
        <w:ind w:left="0" w:firstLine="0"/>
        <w:jc w:val="left"/>
        <w:rPr>
          <w:rFonts w:ascii="Arial" w:eastAsia="Arial" w:hAnsi="Arial" w:cs="Arial"/>
          <w:color w:val="000000"/>
        </w:rPr>
      </w:pPr>
      <w:r>
        <w:rPr>
          <w:rFonts w:ascii="Arial" w:eastAsia="Arial" w:hAnsi="Arial" w:cs="Arial"/>
          <w:color w:val="000000"/>
        </w:rPr>
        <w:t>Indices published with a ‘B’ or ‘F’ marker, or a suppressed value, in the last 3 years are not valid for Variation of Price clauses and shall not be used.  Where the price index has an ‘F’ marker or suppression applied to it during the term of t</w:t>
      </w:r>
      <w:r>
        <w:rPr>
          <w:rFonts w:ascii="Arial" w:eastAsia="Arial" w:hAnsi="Arial" w:cs="Arial"/>
          <w:color w:val="000000"/>
        </w:rPr>
        <w:t xml:space="preserve">he Contract, the Authority and the Supplier shall agree an appropriate replacement index or indices.  The replacement index or indices shall cover, to the maximum extent possible, the same economic activities as the original index or indices. </w:t>
      </w:r>
    </w:p>
    <w:p w:rsidR="00857519" w:rsidRDefault="00063E28">
      <w:pPr>
        <w:numPr>
          <w:ilvl w:val="0"/>
          <w:numId w:val="1"/>
        </w:numPr>
        <w:spacing w:before="120" w:after="120" w:line="240" w:lineRule="auto"/>
        <w:ind w:left="0" w:firstLine="0"/>
        <w:jc w:val="left"/>
        <w:rPr>
          <w:rFonts w:ascii="Arial" w:eastAsia="Arial" w:hAnsi="Arial" w:cs="Arial"/>
          <w:color w:val="000000"/>
        </w:rPr>
      </w:pPr>
      <w:r>
        <w:rPr>
          <w:rFonts w:ascii="Arial" w:eastAsia="Arial" w:hAnsi="Arial" w:cs="Arial"/>
          <w:color w:val="000000"/>
        </w:rPr>
        <w:t>In the event</w:t>
      </w:r>
      <w:r>
        <w:rPr>
          <w:rFonts w:ascii="Arial" w:eastAsia="Arial" w:hAnsi="Arial" w:cs="Arial"/>
          <w:color w:val="000000"/>
        </w:rPr>
        <w:t xml:space="preserve"> that any material changes are made to the indices (e.g. a revised statistical base date) during the period of the contract and before final adjustment of the final contract price, then the re-basing methodology outlined by the Office for National Statisti</w:t>
      </w:r>
      <w:r>
        <w:rPr>
          <w:rFonts w:ascii="Arial" w:eastAsia="Arial" w:hAnsi="Arial" w:cs="Arial"/>
          <w:color w:val="000000"/>
        </w:rPr>
        <w:t>cs (ONS, the series providers) to match the original index to the new series shall be applied.</w:t>
      </w:r>
    </w:p>
    <w:p w:rsidR="00857519" w:rsidRDefault="00063E28">
      <w:pPr>
        <w:numPr>
          <w:ilvl w:val="0"/>
          <w:numId w:val="1"/>
        </w:numPr>
        <w:spacing w:before="120" w:after="120" w:line="240" w:lineRule="auto"/>
        <w:ind w:left="0" w:firstLine="0"/>
        <w:jc w:val="left"/>
        <w:rPr>
          <w:rFonts w:ascii="Arial" w:eastAsia="Arial" w:hAnsi="Arial" w:cs="Arial"/>
          <w:color w:val="000000"/>
        </w:rPr>
      </w:pPr>
      <w:r>
        <w:rPr>
          <w:rFonts w:ascii="Arial" w:eastAsia="Arial" w:hAnsi="Arial" w:cs="Arial"/>
          <w:color w:val="000000"/>
        </w:rPr>
        <w:t>In the event the agreed index or indices cease to be published (e.g. because of a change in the Standard Industrial Classification) the Authority and the Supplie</w:t>
      </w:r>
      <w:r>
        <w:rPr>
          <w:rFonts w:ascii="Arial" w:eastAsia="Arial" w:hAnsi="Arial" w:cs="Arial"/>
          <w:color w:val="000000"/>
        </w:rPr>
        <w:t>r shall agree an appropriate replacement index or indices, which shall cover to the maximum extent possible the same economic activities as the original index or indices.  The methodology outlined by the Office for National Statistics used for rebasing ind</w:t>
      </w:r>
      <w:r>
        <w:rPr>
          <w:rFonts w:ascii="Arial" w:eastAsia="Arial" w:hAnsi="Arial" w:cs="Arial"/>
          <w:color w:val="000000"/>
        </w:rPr>
        <w:t>ices (as in Clause 4 above) shall then be applied.</w:t>
      </w:r>
    </w:p>
    <w:p w:rsidR="00857519" w:rsidRDefault="00063E28">
      <w:pPr>
        <w:numPr>
          <w:ilvl w:val="0"/>
          <w:numId w:val="1"/>
        </w:numPr>
        <w:spacing w:before="120" w:after="120" w:line="240" w:lineRule="auto"/>
        <w:ind w:left="0" w:firstLine="0"/>
        <w:jc w:val="left"/>
        <w:rPr>
          <w:rFonts w:ascii="Arial" w:eastAsia="Arial" w:hAnsi="Arial" w:cs="Arial"/>
          <w:color w:val="000000"/>
        </w:rPr>
      </w:pPr>
      <w:r>
        <w:rPr>
          <w:rFonts w:ascii="Arial" w:eastAsia="Arial" w:hAnsi="Arial" w:cs="Arial"/>
          <w:color w:val="000000"/>
        </w:rPr>
        <w:lastRenderedPageBreak/>
        <w:t xml:space="preserve">Notwithstanding the above, any extant index / indices agreed in the Contract shall continue to be used as long as it is / they are available and subject to ONS revisions policy.  Payments calculated using </w:t>
      </w:r>
      <w:r>
        <w:rPr>
          <w:rFonts w:ascii="Arial" w:eastAsia="Arial" w:hAnsi="Arial" w:cs="Arial"/>
          <w:color w:val="000000"/>
        </w:rPr>
        <w:t>the extant index / indices during its / their currency shall not be amended retrospectively as a result of any change to the index or indices.</w:t>
      </w:r>
    </w:p>
    <w:p w:rsidR="00857519" w:rsidRDefault="00063E28">
      <w:pPr>
        <w:numPr>
          <w:ilvl w:val="0"/>
          <w:numId w:val="1"/>
        </w:numPr>
        <w:spacing w:before="120" w:after="120" w:line="240" w:lineRule="auto"/>
        <w:ind w:left="0" w:firstLine="0"/>
        <w:jc w:val="left"/>
        <w:rPr>
          <w:rFonts w:ascii="Arial" w:eastAsia="Arial" w:hAnsi="Arial" w:cs="Arial"/>
          <w:color w:val="000000"/>
        </w:rPr>
      </w:pPr>
      <w:r>
        <w:rPr>
          <w:rFonts w:ascii="Arial" w:eastAsia="Arial" w:hAnsi="Arial" w:cs="Arial"/>
          <w:color w:val="000000"/>
        </w:rPr>
        <w:t xml:space="preserve">The Supplier shall notify the Authority of any significant changes in the purchasing / manufacturing plan on the </w:t>
      </w:r>
      <w:r>
        <w:rPr>
          <w:rFonts w:ascii="Arial" w:eastAsia="Arial" w:hAnsi="Arial" w:cs="Arial"/>
          <w:color w:val="000000"/>
        </w:rPr>
        <w:t>basis of which these provisions were drawn up and agreed, or of any other factor having a material bearing on the operation of these provisions such as to cause a significant divergence from their intended purpose, in order that both parties may consider w</w:t>
      </w:r>
      <w:r>
        <w:rPr>
          <w:rFonts w:ascii="Arial" w:eastAsia="Arial" w:hAnsi="Arial" w:cs="Arial"/>
          <w:color w:val="000000"/>
        </w:rPr>
        <w:t xml:space="preserve">hether any change in this provision would be appropriate. </w:t>
      </w:r>
    </w:p>
    <w:p w:rsidR="00857519" w:rsidRDefault="00063E28">
      <w:pPr>
        <w:numPr>
          <w:ilvl w:val="0"/>
          <w:numId w:val="1"/>
        </w:numPr>
        <w:spacing w:before="120" w:after="120" w:line="240" w:lineRule="auto"/>
        <w:ind w:left="0" w:firstLine="0"/>
        <w:jc w:val="left"/>
        <w:rPr>
          <w:rFonts w:ascii="Arial" w:eastAsia="Arial" w:hAnsi="Arial" w:cs="Arial"/>
          <w:color w:val="000000"/>
        </w:rPr>
      </w:pPr>
      <w:r>
        <w:rPr>
          <w:rFonts w:ascii="Arial" w:eastAsia="Arial" w:hAnsi="Arial" w:cs="Arial"/>
          <w:color w:val="000000"/>
        </w:rPr>
        <w:t xml:space="preserve">Prices shall be adjusted </w:t>
      </w:r>
      <w:proofErr w:type="gramStart"/>
      <w:r>
        <w:rPr>
          <w:rFonts w:ascii="Arial" w:eastAsia="Arial" w:hAnsi="Arial" w:cs="Arial"/>
          <w:color w:val="000000"/>
        </w:rPr>
        <w:t>taking into account</w:t>
      </w:r>
      <w:proofErr w:type="gramEnd"/>
      <w:r>
        <w:rPr>
          <w:rFonts w:ascii="Arial" w:eastAsia="Arial" w:hAnsi="Arial" w:cs="Arial"/>
          <w:color w:val="000000"/>
        </w:rPr>
        <w:t xml:space="preserve"> the effect of the above formula as soon as possible after publication of the relevant indices or at a later date if so agreed between the Authority and </w:t>
      </w:r>
      <w:r>
        <w:rPr>
          <w:rFonts w:ascii="Arial" w:eastAsia="Arial" w:hAnsi="Arial" w:cs="Arial"/>
          <w:color w:val="000000"/>
        </w:rPr>
        <w:t>the Supplier.  Where an index value is subsequently amended, the Authority and the Supplier shall agree a fair and reasonable adjustment to the price, as necessary. Any amendment shall be subject to the requirements of Clause 24 of the Core Terms</w:t>
      </w:r>
    </w:p>
    <w:p w:rsidR="00857519" w:rsidRDefault="00063E28">
      <w:pPr>
        <w:spacing w:after="200" w:line="276" w:lineRule="auto"/>
        <w:jc w:val="left"/>
        <w:rPr>
          <w:rFonts w:ascii="Arial" w:eastAsia="Arial" w:hAnsi="Arial" w:cs="Arial"/>
        </w:rPr>
        <w:sectPr w:rsidR="00857519">
          <w:headerReference w:type="default" r:id="rId8"/>
          <w:footerReference w:type="default" r:id="rId9"/>
          <w:headerReference w:type="first" r:id="rId10"/>
          <w:footerReference w:type="first" r:id="rId11"/>
          <w:pgSz w:w="11909" w:h="16834"/>
          <w:pgMar w:top="1440" w:right="1440" w:bottom="1440" w:left="1440" w:header="709" w:footer="709" w:gutter="0"/>
          <w:pgNumType w:start="1"/>
          <w:cols w:space="720"/>
          <w:titlePg/>
        </w:sectPr>
      </w:pPr>
      <w:r>
        <w:rPr>
          <w:rFonts w:ascii="Arial" w:eastAsia="Arial" w:hAnsi="Arial" w:cs="Arial"/>
          <w:color w:val="000000"/>
        </w:rPr>
        <w:t>Claims under this Condition shall be submitted to the Bill Paying Branch, certified to the effect that the requirements of this Clause 8 have been met.</w:t>
      </w:r>
    </w:p>
    <w:p w:rsidR="00857519" w:rsidRDefault="00063E28">
      <w:pPr>
        <w:rPr>
          <w:rFonts w:ascii="Arial" w:eastAsia="Arial" w:hAnsi="Arial" w:cs="Arial"/>
          <w:b/>
        </w:rPr>
      </w:pPr>
      <w:r>
        <w:rPr>
          <w:rFonts w:ascii="Arial" w:eastAsia="Arial" w:hAnsi="Arial" w:cs="Arial"/>
          <w:b/>
        </w:rPr>
        <w:lastRenderedPageBreak/>
        <w:t>Annex A – Worker Pay Rates</w:t>
      </w:r>
    </w:p>
    <w:p w:rsidR="00857519" w:rsidRDefault="00063E28">
      <w:pPr>
        <w:spacing w:line="240" w:lineRule="auto"/>
        <w:rPr>
          <w:rFonts w:ascii="Arial" w:eastAsia="Arial" w:hAnsi="Arial" w:cs="Arial"/>
        </w:rPr>
      </w:pPr>
      <w:r>
        <w:rPr>
          <w:rFonts w:ascii="Arial" w:eastAsia="Arial" w:hAnsi="Arial" w:cs="Arial"/>
        </w:rPr>
        <w:t xml:space="preserve">1.1 Pay rates to Temporary Healthcare Workers will be set by the Contracting </w:t>
      </w:r>
      <w:r>
        <w:rPr>
          <w:rFonts w:ascii="Arial" w:eastAsia="Arial" w:hAnsi="Arial" w:cs="Arial"/>
        </w:rPr>
        <w:t>Authority and subject to flexibility and review points. All pay rates are set at a rate at least equitable to the pay rate of an equivalent grade permanent employee and are paid from day one of the Placement.  As such pay rates do not increase when the Tem</w:t>
      </w:r>
      <w:r>
        <w:rPr>
          <w:rFonts w:ascii="Arial" w:eastAsia="Arial" w:hAnsi="Arial" w:cs="Arial"/>
        </w:rPr>
        <w:t>porary Healthcare Worker reaches 12 weeks of engagement. Any amendments to pay rates will be communicated by the Contracting Authority’s Commercial team only.</w:t>
      </w:r>
    </w:p>
    <w:p w:rsidR="00857519" w:rsidRDefault="00063E28">
      <w:pPr>
        <w:spacing w:line="240" w:lineRule="auto"/>
        <w:rPr>
          <w:rFonts w:ascii="Arial" w:eastAsia="Arial" w:hAnsi="Arial" w:cs="Arial"/>
        </w:rPr>
      </w:pPr>
      <w:r>
        <w:rPr>
          <w:rFonts w:ascii="Arial" w:eastAsia="Arial" w:hAnsi="Arial" w:cs="Arial"/>
        </w:rPr>
        <w:t>1.2 Individual pay rates for specific Temporary Healthcare Workers are not permitted and all Temp</w:t>
      </w:r>
      <w:r>
        <w:rPr>
          <w:rFonts w:ascii="Arial" w:eastAsia="Arial" w:hAnsi="Arial" w:cs="Arial"/>
        </w:rPr>
        <w:t>orary Healthcare Workers within each profession and specialism shall, subject to paragraph 1.3 of this Annex A to Call-Off Schedule 5 – Pricing Details receive the same rate of pay. For example, and for the avoidance of doubt, an individual General Practit</w:t>
      </w:r>
      <w:r>
        <w:rPr>
          <w:rFonts w:ascii="Arial" w:eastAsia="Arial" w:hAnsi="Arial" w:cs="Arial"/>
        </w:rPr>
        <w:t xml:space="preserve">ioner supplied by the Supplier will receive the same rate of pay as every other General Practitioner supplied by the Supplier.  </w:t>
      </w:r>
    </w:p>
    <w:p w:rsidR="00857519" w:rsidRDefault="00063E28">
      <w:pPr>
        <w:spacing w:line="240" w:lineRule="auto"/>
        <w:rPr>
          <w:rFonts w:ascii="Arial" w:eastAsia="Arial" w:hAnsi="Arial" w:cs="Arial"/>
        </w:rPr>
      </w:pPr>
      <w:r>
        <w:rPr>
          <w:rFonts w:ascii="Arial" w:eastAsia="Arial" w:hAnsi="Arial" w:cs="Arial"/>
        </w:rPr>
        <w:t>1.3 The Contracting Authority reserves the right to change pay scales for Temporary Healthcare Workers, and the Supplier may be</w:t>
      </w:r>
      <w:r>
        <w:rPr>
          <w:rFonts w:ascii="Arial" w:eastAsia="Arial" w:hAnsi="Arial" w:cs="Arial"/>
        </w:rPr>
        <w:t xml:space="preserve"> asked to support and contribute to discussions relating to such adjustments.</w:t>
      </w:r>
    </w:p>
    <w:p w:rsidR="00857519" w:rsidRDefault="00063E28">
      <w:pPr>
        <w:spacing w:line="240" w:lineRule="auto"/>
        <w:rPr>
          <w:rFonts w:ascii="Arial" w:eastAsia="Arial" w:hAnsi="Arial" w:cs="Arial"/>
        </w:rPr>
        <w:sectPr w:rsidR="00857519">
          <w:pgSz w:w="11909" w:h="16834"/>
          <w:pgMar w:top="1440" w:right="1440" w:bottom="142" w:left="1440" w:header="709" w:footer="709" w:gutter="0"/>
          <w:cols w:space="720"/>
          <w:titlePg/>
        </w:sectPr>
      </w:pPr>
      <w:r>
        <w:rPr>
          <w:rFonts w:ascii="Arial" w:eastAsia="Arial" w:hAnsi="Arial" w:cs="Arial"/>
        </w:rPr>
        <w:t>1.4 The Contracting Authority reserves the right to introduce alternative pricing for specific locations and/or professions where it has justifiable evidence that pa</w:t>
      </w:r>
      <w:r>
        <w:rPr>
          <w:rFonts w:ascii="Arial" w:eastAsia="Arial" w:hAnsi="Arial" w:cs="Arial"/>
        </w:rPr>
        <w:t>y rates are having a negative impact upon supply levels, and where alternative options to improve fill have been exhausted.</w:t>
      </w:r>
    </w:p>
    <w:p w:rsidR="00857519" w:rsidRDefault="00063E28">
      <w:pPr>
        <w:spacing w:after="200" w:line="276" w:lineRule="auto"/>
        <w:jc w:val="left"/>
        <w:rPr>
          <w:rFonts w:ascii="Arial" w:eastAsia="Arial" w:hAnsi="Arial" w:cs="Arial"/>
          <w:b/>
          <w:i/>
          <w:color w:val="5B9BD5"/>
          <w:sz w:val="24"/>
          <w:szCs w:val="24"/>
        </w:rPr>
      </w:pPr>
      <w:r>
        <w:rPr>
          <w:rFonts w:ascii="Arial" w:eastAsia="Arial" w:hAnsi="Arial" w:cs="Arial"/>
          <w:b/>
          <w:sz w:val="24"/>
          <w:szCs w:val="24"/>
        </w:rPr>
        <w:lastRenderedPageBreak/>
        <w:t>Annex B - Pricing Schedule</w:t>
      </w:r>
    </w:p>
    <w:p w:rsidR="00857519" w:rsidRDefault="00857519">
      <w:pPr>
        <w:spacing w:after="200" w:line="276" w:lineRule="auto"/>
        <w:jc w:val="left"/>
        <w:rPr>
          <w:rFonts w:ascii="Arial" w:eastAsia="Arial" w:hAnsi="Arial" w:cs="Arial"/>
          <w:sz w:val="24"/>
          <w:szCs w:val="24"/>
        </w:rPr>
      </w:pPr>
    </w:p>
    <w:p w:rsidR="00BE2AC1" w:rsidRDefault="00BE2AC1" w:rsidP="00BE2AC1">
      <w:pPr>
        <w:spacing w:after="200" w:line="276" w:lineRule="auto"/>
        <w:ind w:left="-993" w:firstLine="993"/>
        <w:jc w:val="left"/>
        <w:rPr>
          <w:rFonts w:ascii="Arial" w:eastAsia="Arial" w:hAnsi="Arial" w:cs="Arial"/>
          <w:sz w:val="24"/>
          <w:szCs w:val="24"/>
        </w:rPr>
      </w:pPr>
      <w:r w:rsidRPr="001D121C">
        <w:rPr>
          <w:rFonts w:ascii="Arial" w:eastAsia="Arial" w:hAnsi="Arial" w:cs="Arial"/>
          <w:sz w:val="24"/>
          <w:szCs w:val="24"/>
        </w:rPr>
        <w:t>REDACTED TEXT under FOIA Section 43 Commercial Interests</w:t>
      </w:r>
    </w:p>
    <w:p w:rsidR="00BE2AC1" w:rsidRDefault="00BE2AC1">
      <w:pPr>
        <w:spacing w:after="200" w:line="276" w:lineRule="auto"/>
        <w:jc w:val="left"/>
        <w:rPr>
          <w:rFonts w:ascii="Arial" w:eastAsia="Arial" w:hAnsi="Arial" w:cs="Arial"/>
          <w:sz w:val="24"/>
          <w:szCs w:val="24"/>
        </w:rPr>
        <w:sectPr w:rsidR="00BE2AC1">
          <w:pgSz w:w="16834" w:h="11909" w:orient="landscape"/>
          <w:pgMar w:top="1440" w:right="1440" w:bottom="1440" w:left="142" w:header="709" w:footer="709" w:gutter="0"/>
          <w:cols w:space="720"/>
          <w:titlePg/>
        </w:sectPr>
      </w:pPr>
      <w:bookmarkStart w:id="0" w:name="_GoBack"/>
      <w:bookmarkEnd w:id="0"/>
    </w:p>
    <w:p w:rsidR="00857519" w:rsidRDefault="00063E28">
      <w:pPr>
        <w:spacing w:line="240" w:lineRule="auto"/>
        <w:rPr>
          <w:rFonts w:ascii="Arial" w:eastAsia="Arial" w:hAnsi="Arial" w:cs="Arial"/>
          <w:b/>
        </w:rPr>
      </w:pPr>
      <w:r>
        <w:rPr>
          <w:rFonts w:ascii="Arial" w:eastAsia="Arial" w:hAnsi="Arial" w:cs="Arial"/>
          <w:b/>
        </w:rPr>
        <w:lastRenderedPageBreak/>
        <w:t>Annex C – Temporary Healthcare Worker Travel and Subsistence Policy</w:t>
      </w:r>
    </w:p>
    <w:p w:rsidR="00857519" w:rsidRDefault="00063E28">
      <w:pPr>
        <w:spacing w:line="240" w:lineRule="auto"/>
        <w:rPr>
          <w:rFonts w:ascii="Arial" w:eastAsia="Arial" w:hAnsi="Arial" w:cs="Arial"/>
        </w:rPr>
      </w:pPr>
      <w:r>
        <w:rPr>
          <w:rFonts w:ascii="Arial" w:eastAsia="Arial" w:hAnsi="Arial" w:cs="Arial"/>
        </w:rPr>
        <w:t>GENERAL PROVISIONS</w:t>
      </w:r>
    </w:p>
    <w:p w:rsidR="00857519" w:rsidRDefault="00063E28">
      <w:pPr>
        <w:spacing w:line="240" w:lineRule="auto"/>
        <w:rPr>
          <w:rFonts w:ascii="Arial" w:eastAsia="Arial" w:hAnsi="Arial" w:cs="Arial"/>
        </w:rPr>
      </w:pPr>
      <w:r>
        <w:rPr>
          <w:rFonts w:ascii="Arial" w:eastAsia="Arial" w:hAnsi="Arial" w:cs="Arial"/>
        </w:rPr>
        <w:t xml:space="preserve">1.1 The Contracting Authority shall not pay or reimburse the Supplier for any travel, accommodation, subsistence or other costs incurred by a Temporary </w:t>
      </w:r>
      <w:proofErr w:type="gramStart"/>
      <w:r>
        <w:rPr>
          <w:rFonts w:ascii="Arial" w:eastAsia="Arial" w:hAnsi="Arial" w:cs="Arial"/>
        </w:rPr>
        <w:t>Healthcare  Worke</w:t>
      </w:r>
      <w:r>
        <w:rPr>
          <w:rFonts w:ascii="Arial" w:eastAsia="Arial" w:hAnsi="Arial" w:cs="Arial"/>
        </w:rPr>
        <w:t>r</w:t>
      </w:r>
      <w:proofErr w:type="gramEnd"/>
      <w:r>
        <w:rPr>
          <w:rFonts w:ascii="Arial" w:eastAsia="Arial" w:hAnsi="Arial" w:cs="Arial"/>
        </w:rPr>
        <w:t xml:space="preserve"> in relation to Placements and/or the provision of Service Requirements (“Expenses”), save as set out in paragraphs 2 (Placements in GB Mainland Locations) and 3 (Placements in Non-GB Mainland Locations) of this Travel and Subsistence Policy below.</w:t>
      </w:r>
    </w:p>
    <w:p w:rsidR="00857519" w:rsidRDefault="00063E28">
      <w:pPr>
        <w:spacing w:line="240" w:lineRule="auto"/>
        <w:rPr>
          <w:rFonts w:ascii="Arial" w:eastAsia="Arial" w:hAnsi="Arial" w:cs="Arial"/>
        </w:rPr>
      </w:pPr>
      <w:r>
        <w:rPr>
          <w:rFonts w:ascii="Arial" w:eastAsia="Arial" w:hAnsi="Arial" w:cs="Arial"/>
        </w:rPr>
        <w:t>1.2 Wh</w:t>
      </w:r>
      <w:r>
        <w:rPr>
          <w:rFonts w:ascii="Arial" w:eastAsia="Arial" w:hAnsi="Arial" w:cs="Arial"/>
        </w:rPr>
        <w:t>ere the Supplier is permitted under this Travel and Subsistence Policy to claim Expenses the Supplier shall not be entitled to claim any amount:</w:t>
      </w:r>
    </w:p>
    <w:p w:rsidR="00857519" w:rsidRDefault="00063E28">
      <w:pPr>
        <w:spacing w:line="240" w:lineRule="auto"/>
        <w:ind w:left="720"/>
        <w:rPr>
          <w:rFonts w:ascii="Arial" w:eastAsia="Arial" w:hAnsi="Arial" w:cs="Arial"/>
        </w:rPr>
      </w:pPr>
      <w:r>
        <w:rPr>
          <w:rFonts w:ascii="Arial" w:eastAsia="Arial" w:hAnsi="Arial" w:cs="Arial"/>
        </w:rPr>
        <w:t>1.2.1 in excess of the Pre-Approved Travel Expenses Limit, Pre-Approved Accommodation Expenses Limit and/or Pre</w:t>
      </w:r>
      <w:r>
        <w:rPr>
          <w:rFonts w:ascii="Arial" w:eastAsia="Arial" w:hAnsi="Arial" w:cs="Arial"/>
        </w:rPr>
        <w:t>-Approved Subsistence Expenses Limit relating to a Placement as included in the Placed Demand Order, save where such expenditure is reasonable (in the sole opinion of the Contracting Authority) and where the Contracting Authority has approved such expendit</w:t>
      </w:r>
      <w:r>
        <w:rPr>
          <w:rFonts w:ascii="Arial" w:eastAsia="Arial" w:hAnsi="Arial" w:cs="Arial"/>
        </w:rPr>
        <w:t>ure in advance of it being incurred; and/or</w:t>
      </w:r>
    </w:p>
    <w:p w:rsidR="00857519" w:rsidRDefault="00063E28">
      <w:pPr>
        <w:spacing w:line="240" w:lineRule="auto"/>
        <w:ind w:left="720"/>
        <w:rPr>
          <w:rFonts w:ascii="Arial" w:eastAsia="Arial" w:hAnsi="Arial" w:cs="Arial"/>
        </w:rPr>
      </w:pPr>
      <w:r>
        <w:rPr>
          <w:rFonts w:ascii="Arial" w:eastAsia="Arial" w:hAnsi="Arial" w:cs="Arial"/>
        </w:rPr>
        <w:t>1.2.2 for which it cannot provide evidence (to the Contracting Authority’s reasonable satisfaction) of the actual expenditure incurred (which must include original readable receipts).</w:t>
      </w:r>
    </w:p>
    <w:p w:rsidR="00857519" w:rsidRDefault="00063E28">
      <w:pPr>
        <w:spacing w:line="240" w:lineRule="auto"/>
        <w:rPr>
          <w:rFonts w:ascii="Arial" w:eastAsia="Arial" w:hAnsi="Arial" w:cs="Arial"/>
        </w:rPr>
      </w:pPr>
      <w:r>
        <w:rPr>
          <w:rFonts w:ascii="Arial" w:eastAsia="Arial" w:hAnsi="Arial" w:cs="Arial"/>
        </w:rPr>
        <w:t>1.3 Any amount of Expenses t</w:t>
      </w:r>
      <w:r>
        <w:rPr>
          <w:rFonts w:ascii="Arial" w:eastAsia="Arial" w:hAnsi="Arial" w:cs="Arial"/>
        </w:rPr>
        <w:t xml:space="preserve">o be paid by the Contracting Authority under this Travel and Subsistence Policy shall be invoiced and paid in accordance with Annex D to Call-Off Schedule 5 (Payment and Invoicing). </w:t>
      </w:r>
    </w:p>
    <w:p w:rsidR="00857519" w:rsidRDefault="00063E28">
      <w:pPr>
        <w:spacing w:line="240" w:lineRule="auto"/>
        <w:rPr>
          <w:rFonts w:ascii="Arial" w:eastAsia="Arial" w:hAnsi="Arial" w:cs="Arial"/>
        </w:rPr>
      </w:pPr>
      <w:r>
        <w:rPr>
          <w:rFonts w:ascii="Arial" w:eastAsia="Arial" w:hAnsi="Arial" w:cs="Arial"/>
        </w:rPr>
        <w:t>2.</w:t>
      </w:r>
      <w:r>
        <w:rPr>
          <w:rFonts w:ascii="Arial" w:eastAsia="Arial" w:hAnsi="Arial" w:cs="Arial"/>
        </w:rPr>
        <w:tab/>
        <w:t>Placements in GB Mainland Locations</w:t>
      </w:r>
    </w:p>
    <w:p w:rsidR="00857519" w:rsidRDefault="00063E28">
      <w:pPr>
        <w:spacing w:line="240" w:lineRule="auto"/>
        <w:rPr>
          <w:rFonts w:ascii="Arial" w:eastAsia="Arial" w:hAnsi="Arial" w:cs="Arial"/>
        </w:rPr>
      </w:pPr>
      <w:r>
        <w:rPr>
          <w:rFonts w:ascii="Arial" w:eastAsia="Arial" w:hAnsi="Arial" w:cs="Arial"/>
        </w:rPr>
        <w:t>2.1</w:t>
      </w:r>
      <w:r>
        <w:rPr>
          <w:rFonts w:ascii="Arial" w:eastAsia="Arial" w:hAnsi="Arial" w:cs="Arial"/>
        </w:rPr>
        <w:tab/>
      </w:r>
      <w:r>
        <w:rPr>
          <w:rFonts w:ascii="Arial" w:eastAsia="Arial" w:hAnsi="Arial" w:cs="Arial"/>
        </w:rPr>
        <w:tab/>
        <w:t xml:space="preserve">Where a Temporary Healthcare </w:t>
      </w:r>
      <w:r>
        <w:rPr>
          <w:rFonts w:ascii="Arial" w:eastAsia="Arial" w:hAnsi="Arial" w:cs="Arial"/>
        </w:rPr>
        <w:t>Worker is required by the Contracting Authority to undertake Business Travel, the Supplier shall ensure that the Temporary Healthcare Worker shall, prior to undertaking any Business Travel, seek email approval for the requested method of travel (as permitt</w:t>
      </w:r>
      <w:r>
        <w:rPr>
          <w:rFonts w:ascii="Arial" w:eastAsia="Arial" w:hAnsi="Arial" w:cs="Arial"/>
        </w:rPr>
        <w:t xml:space="preserve">ed by paragraph 2.6) from the Hiring Manager. </w:t>
      </w:r>
    </w:p>
    <w:p w:rsidR="00857519" w:rsidRDefault="00063E28">
      <w:pPr>
        <w:spacing w:line="240" w:lineRule="auto"/>
        <w:rPr>
          <w:rFonts w:ascii="Arial" w:eastAsia="Arial" w:hAnsi="Arial" w:cs="Arial"/>
        </w:rPr>
      </w:pPr>
      <w:r>
        <w:rPr>
          <w:rFonts w:ascii="Arial" w:eastAsia="Arial" w:hAnsi="Arial" w:cs="Arial"/>
        </w:rPr>
        <w:t>2.2</w:t>
      </w:r>
      <w:r>
        <w:rPr>
          <w:rFonts w:ascii="Arial" w:eastAsia="Arial" w:hAnsi="Arial" w:cs="Arial"/>
        </w:rPr>
        <w:tab/>
        <w:t>Where a Temporary Healthcare Worker is required by the Contracting Authority to undertake Business Travel and the Temporary Healthcare Worker is required to stay away from home on an overnight basis, the S</w:t>
      </w:r>
      <w:r>
        <w:rPr>
          <w:rFonts w:ascii="Arial" w:eastAsia="Arial" w:hAnsi="Arial" w:cs="Arial"/>
        </w:rPr>
        <w:t xml:space="preserve">upplier shall ensure that the Temporary Healthcare Worker shall, prior to undertaking any Business Travel, seek email approval for the requested type of accommodation (as permitted by paragraph 2.7) from the Hiring Manager.  </w:t>
      </w:r>
    </w:p>
    <w:p w:rsidR="00857519" w:rsidRDefault="00063E28">
      <w:pPr>
        <w:spacing w:line="240" w:lineRule="auto"/>
        <w:rPr>
          <w:rFonts w:ascii="Arial" w:eastAsia="Arial" w:hAnsi="Arial" w:cs="Arial"/>
        </w:rPr>
      </w:pPr>
      <w:bookmarkStart w:id="1" w:name="_heading=h.gjdgxs" w:colFirst="0" w:colLast="0"/>
      <w:bookmarkEnd w:id="1"/>
      <w:r>
        <w:rPr>
          <w:rFonts w:ascii="Arial" w:eastAsia="Arial" w:hAnsi="Arial" w:cs="Arial"/>
        </w:rPr>
        <w:t>2.3</w:t>
      </w:r>
      <w:r>
        <w:rPr>
          <w:rFonts w:ascii="Arial" w:eastAsia="Arial" w:hAnsi="Arial" w:cs="Arial"/>
        </w:rPr>
        <w:tab/>
      </w:r>
      <w:r>
        <w:rPr>
          <w:rFonts w:ascii="Arial" w:eastAsia="Arial" w:hAnsi="Arial" w:cs="Arial"/>
        </w:rPr>
        <w:t xml:space="preserve">Where a Temporary Healthcare Worker is required by the Contracting Authority to undertake Business Travel and the Temporary Healthcare Worker may incur costs in relation to subsistence, the Supplier shall ensure that the Temporary Healthcare Worker shall, </w:t>
      </w:r>
      <w:r>
        <w:rPr>
          <w:rFonts w:ascii="Arial" w:eastAsia="Arial" w:hAnsi="Arial" w:cs="Arial"/>
        </w:rPr>
        <w:t xml:space="preserve">prior to undertaking any Business Travel, seek email approval for the likely subsistence costs to be incurred (as permitted by paragraph 2.8) from the Hiring Manager. </w:t>
      </w:r>
    </w:p>
    <w:p w:rsidR="00857519" w:rsidRDefault="00063E28">
      <w:pPr>
        <w:spacing w:line="240" w:lineRule="auto"/>
        <w:rPr>
          <w:rFonts w:ascii="Arial" w:eastAsia="Arial" w:hAnsi="Arial" w:cs="Arial"/>
        </w:rPr>
      </w:pPr>
      <w:r>
        <w:rPr>
          <w:rFonts w:ascii="Arial" w:eastAsia="Arial" w:hAnsi="Arial" w:cs="Arial"/>
        </w:rPr>
        <w:t>2.4</w:t>
      </w:r>
      <w:r>
        <w:rPr>
          <w:rFonts w:ascii="Arial" w:eastAsia="Arial" w:hAnsi="Arial" w:cs="Arial"/>
        </w:rPr>
        <w:tab/>
        <w:t>Any costs incurred in respect of travel, accommodation and/or subsistence, as set ou</w:t>
      </w:r>
      <w:r>
        <w:rPr>
          <w:rFonts w:ascii="Arial" w:eastAsia="Arial" w:hAnsi="Arial" w:cs="Arial"/>
        </w:rPr>
        <w:t>t paragraphs 2.1 to 2.3 above, which do not have the prior approval of the Hiring Manager, shall not be reimbursed by the Contracting Authority.</w:t>
      </w:r>
    </w:p>
    <w:p w:rsidR="00857519" w:rsidRDefault="00063E28">
      <w:pPr>
        <w:spacing w:line="240" w:lineRule="auto"/>
        <w:rPr>
          <w:rFonts w:ascii="Arial" w:eastAsia="Arial" w:hAnsi="Arial" w:cs="Arial"/>
        </w:rPr>
      </w:pPr>
      <w:r>
        <w:rPr>
          <w:rFonts w:ascii="Arial" w:eastAsia="Arial" w:hAnsi="Arial" w:cs="Arial"/>
        </w:rPr>
        <w:t>2.5</w:t>
      </w:r>
      <w:r>
        <w:rPr>
          <w:rFonts w:ascii="Arial" w:eastAsia="Arial" w:hAnsi="Arial" w:cs="Arial"/>
        </w:rPr>
        <w:tab/>
        <w:t>Examples of the scenarios when Business Travel may be required to be undertaken are, but are not limited to</w:t>
      </w:r>
      <w:r>
        <w:rPr>
          <w:rFonts w:ascii="Arial" w:eastAsia="Arial" w:hAnsi="Arial" w:cs="Arial"/>
        </w:rPr>
        <w:t xml:space="preserve">: </w:t>
      </w:r>
    </w:p>
    <w:p w:rsidR="00857519" w:rsidRDefault="00063E28">
      <w:pPr>
        <w:spacing w:line="240" w:lineRule="auto"/>
        <w:ind w:left="720"/>
        <w:rPr>
          <w:rFonts w:ascii="Arial" w:eastAsia="Arial" w:hAnsi="Arial" w:cs="Arial"/>
        </w:rPr>
      </w:pPr>
      <w:r>
        <w:rPr>
          <w:rFonts w:ascii="Arial" w:eastAsia="Arial" w:hAnsi="Arial" w:cs="Arial"/>
        </w:rPr>
        <w:t>2.5.1 Attendance at meetings/workshops/conferences at either MOD sites or locations other than the Placement Location, when attendance has been included as a requirement of the Job Description;</w:t>
      </w:r>
    </w:p>
    <w:p w:rsidR="00857519" w:rsidRDefault="00063E28">
      <w:pPr>
        <w:spacing w:line="240" w:lineRule="auto"/>
        <w:ind w:firstLine="720"/>
        <w:rPr>
          <w:rFonts w:ascii="Arial" w:eastAsia="Arial" w:hAnsi="Arial" w:cs="Arial"/>
        </w:rPr>
      </w:pPr>
      <w:r>
        <w:rPr>
          <w:rFonts w:ascii="Arial" w:eastAsia="Arial" w:hAnsi="Arial" w:cs="Arial"/>
        </w:rPr>
        <w:lastRenderedPageBreak/>
        <w:t>2.5.2 Home visits to provide Services;</w:t>
      </w:r>
    </w:p>
    <w:p w:rsidR="00857519" w:rsidRDefault="00063E28">
      <w:pPr>
        <w:spacing w:line="240" w:lineRule="auto"/>
        <w:ind w:left="720"/>
        <w:rPr>
          <w:rFonts w:ascii="Arial" w:eastAsia="Arial" w:hAnsi="Arial" w:cs="Arial"/>
        </w:rPr>
      </w:pPr>
      <w:r>
        <w:rPr>
          <w:rFonts w:ascii="Arial" w:eastAsia="Arial" w:hAnsi="Arial" w:cs="Arial"/>
        </w:rPr>
        <w:t>2.5.3 Providing Serv</w:t>
      </w:r>
      <w:r>
        <w:rPr>
          <w:rFonts w:ascii="Arial" w:eastAsia="Arial" w:hAnsi="Arial" w:cs="Arial"/>
        </w:rPr>
        <w:t>ices from an alternative MoD site to that set out in the Placed Demand Order.</w:t>
      </w:r>
    </w:p>
    <w:p w:rsidR="00857519" w:rsidRDefault="00063E28">
      <w:pPr>
        <w:spacing w:line="240" w:lineRule="auto"/>
        <w:rPr>
          <w:rFonts w:ascii="Arial" w:eastAsia="Arial" w:hAnsi="Arial" w:cs="Arial"/>
        </w:rPr>
      </w:pPr>
      <w:r>
        <w:rPr>
          <w:rFonts w:ascii="Arial" w:eastAsia="Arial" w:hAnsi="Arial" w:cs="Arial"/>
        </w:rPr>
        <w:t xml:space="preserve">2.6 Business Travel – Travel Expenses: </w:t>
      </w:r>
    </w:p>
    <w:p w:rsidR="00857519" w:rsidRDefault="00063E28">
      <w:pPr>
        <w:spacing w:line="240" w:lineRule="auto"/>
        <w:rPr>
          <w:rFonts w:ascii="Arial" w:eastAsia="Arial" w:hAnsi="Arial" w:cs="Arial"/>
        </w:rPr>
      </w:pPr>
      <w:r>
        <w:rPr>
          <w:rFonts w:ascii="Arial" w:eastAsia="Arial" w:hAnsi="Arial" w:cs="Arial"/>
        </w:rPr>
        <w:t>2.6.1.</w:t>
      </w:r>
      <w:r>
        <w:rPr>
          <w:rFonts w:ascii="Arial" w:eastAsia="Arial" w:hAnsi="Arial" w:cs="Arial"/>
        </w:rPr>
        <w:tab/>
        <w:t>Subject to paragraph 2.1, a Temporary Healthcare Worker may use the following methods of transport to undertake Business Travel:</w:t>
      </w:r>
    </w:p>
    <w:p w:rsidR="00857519" w:rsidRDefault="00063E28">
      <w:pPr>
        <w:spacing w:line="240" w:lineRule="auto"/>
        <w:rPr>
          <w:rFonts w:ascii="Arial" w:eastAsia="Arial" w:hAnsi="Arial" w:cs="Arial"/>
        </w:rPr>
      </w:pPr>
      <w:r>
        <w:rPr>
          <w:rFonts w:ascii="Arial" w:eastAsia="Arial" w:hAnsi="Arial" w:cs="Arial"/>
        </w:rPr>
        <w:t>2.</w:t>
      </w:r>
      <w:r>
        <w:rPr>
          <w:rFonts w:ascii="Arial" w:eastAsia="Arial" w:hAnsi="Arial" w:cs="Arial"/>
        </w:rPr>
        <w:t>6.1.1.  use public transport, provided that:</w:t>
      </w:r>
    </w:p>
    <w:p w:rsidR="00857519" w:rsidRDefault="00063E28">
      <w:pPr>
        <w:spacing w:line="240" w:lineRule="auto"/>
        <w:ind w:firstLine="720"/>
        <w:rPr>
          <w:rFonts w:ascii="Arial" w:eastAsia="Arial" w:hAnsi="Arial" w:cs="Arial"/>
        </w:rPr>
      </w:pPr>
      <w:r>
        <w:rPr>
          <w:rFonts w:ascii="Arial" w:eastAsia="Arial" w:hAnsi="Arial" w:cs="Arial"/>
        </w:rPr>
        <w:t>2.6.1.1.1 the Temporary Healthcare Worker shall travel only by standard class (i.e. not first class), and wherever possible travel should be at off-peak times.  Where the Temporary Healthcare Worker travels othe</w:t>
      </w:r>
      <w:r>
        <w:rPr>
          <w:rFonts w:ascii="Arial" w:eastAsia="Arial" w:hAnsi="Arial" w:cs="Arial"/>
        </w:rPr>
        <w:t>r than in standard class the Contracting Authority shall not be liable for any travel costs; and</w:t>
      </w:r>
    </w:p>
    <w:p w:rsidR="00857519" w:rsidRDefault="00063E28">
      <w:pPr>
        <w:spacing w:line="240" w:lineRule="auto"/>
        <w:ind w:firstLine="720"/>
        <w:rPr>
          <w:rFonts w:ascii="Arial" w:eastAsia="Arial" w:hAnsi="Arial" w:cs="Arial"/>
        </w:rPr>
      </w:pPr>
      <w:r>
        <w:rPr>
          <w:rFonts w:ascii="Arial" w:eastAsia="Arial" w:hAnsi="Arial" w:cs="Arial"/>
        </w:rPr>
        <w:t>2.6.1.1.2 the Temporary Healthcare Worker shall only travel by taxi for travel to and/or from the nearest rail station or bus route to the alternative Contract</w:t>
      </w:r>
      <w:r>
        <w:rPr>
          <w:rFonts w:ascii="Arial" w:eastAsia="Arial" w:hAnsi="Arial" w:cs="Arial"/>
        </w:rPr>
        <w:t>ing Authority location to that which they are assigned (where it is reasonable, in the Contracting Authority’s opinion, to take a taxi);</w:t>
      </w:r>
    </w:p>
    <w:p w:rsidR="00857519" w:rsidRDefault="00063E28">
      <w:pPr>
        <w:spacing w:line="240" w:lineRule="auto"/>
        <w:rPr>
          <w:rFonts w:ascii="Arial" w:eastAsia="Arial" w:hAnsi="Arial" w:cs="Arial"/>
        </w:rPr>
      </w:pPr>
      <w:r>
        <w:rPr>
          <w:rFonts w:ascii="Arial" w:eastAsia="Arial" w:hAnsi="Arial" w:cs="Arial"/>
        </w:rPr>
        <w:t>2.6.1.2.</w:t>
      </w:r>
      <w:r>
        <w:rPr>
          <w:rFonts w:ascii="Arial" w:eastAsia="Arial" w:hAnsi="Arial" w:cs="Arial"/>
        </w:rPr>
        <w:tab/>
        <w:t xml:space="preserve">  only if permitted by the Mechanised Transport (MT) Manager at the Placement Location, use Contracting Author</w:t>
      </w:r>
      <w:r>
        <w:rPr>
          <w:rFonts w:ascii="Arial" w:eastAsia="Arial" w:hAnsi="Arial" w:cs="Arial"/>
        </w:rPr>
        <w:t xml:space="preserve">ity MT facilities as directed by the MT Manager; or </w:t>
      </w:r>
    </w:p>
    <w:p w:rsidR="00857519" w:rsidRDefault="00063E28">
      <w:pPr>
        <w:spacing w:line="240" w:lineRule="auto"/>
        <w:rPr>
          <w:rFonts w:ascii="Arial" w:eastAsia="Arial" w:hAnsi="Arial" w:cs="Arial"/>
        </w:rPr>
      </w:pPr>
      <w:r>
        <w:rPr>
          <w:rFonts w:ascii="Arial" w:eastAsia="Arial" w:hAnsi="Arial" w:cs="Arial"/>
        </w:rPr>
        <w:t>2.6.1.3.</w:t>
      </w:r>
      <w:r>
        <w:rPr>
          <w:rFonts w:ascii="Arial" w:eastAsia="Arial" w:hAnsi="Arial" w:cs="Arial"/>
        </w:rPr>
        <w:tab/>
        <w:t xml:space="preserve">  only in the event that the Temporary Healthcare Worker has not been permitted to use Contracting Authority MT facilities in accordance with paragraph 2.6.1.2 above, and public transport is imp</w:t>
      </w:r>
      <w:r>
        <w:rPr>
          <w:rFonts w:ascii="Arial" w:eastAsia="Arial" w:hAnsi="Arial" w:cs="Arial"/>
        </w:rPr>
        <w:t xml:space="preserve">ractical (in the Authority’s reasonable opinion) or is demonstrably more expensive, can the Temporary Healthcare Worker use their own private vehicle in accordance with the conditions set out in paragraph 2.6.2 below. </w:t>
      </w:r>
    </w:p>
    <w:p w:rsidR="00857519" w:rsidRDefault="00063E28">
      <w:pPr>
        <w:spacing w:line="240" w:lineRule="auto"/>
        <w:rPr>
          <w:rFonts w:ascii="Arial" w:eastAsia="Arial" w:hAnsi="Arial" w:cs="Arial"/>
        </w:rPr>
      </w:pPr>
      <w:r>
        <w:rPr>
          <w:rFonts w:ascii="Arial" w:eastAsia="Arial" w:hAnsi="Arial" w:cs="Arial"/>
        </w:rPr>
        <w:t>2.6.2.</w:t>
      </w:r>
      <w:r>
        <w:rPr>
          <w:rFonts w:ascii="Arial" w:eastAsia="Arial" w:hAnsi="Arial" w:cs="Arial"/>
        </w:rPr>
        <w:tab/>
        <w:t>Where the Temporary Healthcare</w:t>
      </w:r>
      <w:r>
        <w:rPr>
          <w:rFonts w:ascii="Arial" w:eastAsia="Arial" w:hAnsi="Arial" w:cs="Arial"/>
        </w:rPr>
        <w:t xml:space="preserve"> Worker has elected and the Contracting Authority has authorised the Temporary Healthcare Worker to use its own private vehicle, the Supplier shall ensure that the Temporary Healthcare Worker has adequate business travel car insurance in place.  </w:t>
      </w:r>
    </w:p>
    <w:p w:rsidR="00857519" w:rsidRDefault="00063E28">
      <w:pPr>
        <w:spacing w:line="240" w:lineRule="auto"/>
        <w:rPr>
          <w:rFonts w:ascii="Arial" w:eastAsia="Arial" w:hAnsi="Arial" w:cs="Arial"/>
        </w:rPr>
      </w:pPr>
      <w:r>
        <w:rPr>
          <w:rFonts w:ascii="Arial" w:eastAsia="Arial" w:hAnsi="Arial" w:cs="Arial"/>
        </w:rPr>
        <w:t>2.6.3.</w:t>
      </w:r>
      <w:r>
        <w:rPr>
          <w:rFonts w:ascii="Arial" w:eastAsia="Arial" w:hAnsi="Arial" w:cs="Arial"/>
        </w:rPr>
        <w:tab/>
      </w:r>
      <w:r>
        <w:rPr>
          <w:rFonts w:ascii="Arial" w:eastAsia="Arial" w:hAnsi="Arial" w:cs="Arial"/>
        </w:rPr>
        <w:t>Subject always to the provisions of this paragraph 2.6 and to paragraphs 1.2 and 1.3, the Contracting Authority shall, pay to the Supplier:</w:t>
      </w:r>
    </w:p>
    <w:p w:rsidR="00857519" w:rsidRDefault="00063E28">
      <w:pPr>
        <w:spacing w:line="240" w:lineRule="auto"/>
        <w:rPr>
          <w:rFonts w:ascii="Arial" w:eastAsia="Arial" w:hAnsi="Arial" w:cs="Arial"/>
        </w:rPr>
      </w:pPr>
      <w:r>
        <w:rPr>
          <w:rFonts w:ascii="Arial" w:eastAsia="Arial" w:hAnsi="Arial" w:cs="Arial"/>
        </w:rPr>
        <w:tab/>
        <w:t xml:space="preserve">2.6.3.1 where Business Travel has been undertaken by a Temporary Healthcare Worker by public transport or taxi, an </w:t>
      </w:r>
      <w:r>
        <w:rPr>
          <w:rFonts w:ascii="Arial" w:eastAsia="Arial" w:hAnsi="Arial" w:cs="Arial"/>
        </w:rPr>
        <w:t>amount equal to the amount spent on such approved travel by the Supplier or Temporary Healthcare Worker as set out within a receipt; or</w:t>
      </w:r>
    </w:p>
    <w:p w:rsidR="00857519" w:rsidRDefault="00063E28">
      <w:pPr>
        <w:spacing w:line="240" w:lineRule="auto"/>
        <w:rPr>
          <w:rFonts w:ascii="Arial" w:eastAsia="Arial" w:hAnsi="Arial" w:cs="Arial"/>
        </w:rPr>
      </w:pPr>
      <w:r>
        <w:rPr>
          <w:rFonts w:ascii="Arial" w:eastAsia="Arial" w:hAnsi="Arial" w:cs="Arial"/>
        </w:rPr>
        <w:tab/>
      </w:r>
      <w:proofErr w:type="gramStart"/>
      <w:r>
        <w:rPr>
          <w:rFonts w:ascii="Arial" w:eastAsia="Arial" w:hAnsi="Arial" w:cs="Arial"/>
        </w:rPr>
        <w:t>2.6.3.2  where</w:t>
      </w:r>
      <w:proofErr w:type="gramEnd"/>
      <w:r>
        <w:rPr>
          <w:rFonts w:ascii="Arial" w:eastAsia="Arial" w:hAnsi="Arial" w:cs="Arial"/>
        </w:rPr>
        <w:t xml:space="preserve"> a Temporary Healthcare Worker has been permitted to use their own private vehicle to undertake Business </w:t>
      </w:r>
      <w:r>
        <w:rPr>
          <w:rFonts w:ascii="Arial" w:eastAsia="Arial" w:hAnsi="Arial" w:cs="Arial"/>
        </w:rPr>
        <w:t>Travel, subject to appropriate evidence of mileage travelled, an amount as stated in the relevant Contracting Authority policy (Guide to Business Travel) and 2022DIN01-085 current at the date the journey was taken (which at the date of this Contract is equ</w:t>
      </w:r>
      <w:r>
        <w:rPr>
          <w:rFonts w:ascii="Arial" w:eastAsia="Arial" w:hAnsi="Arial" w:cs="Arial"/>
        </w:rPr>
        <w:t>al to 45p per mile for the first 10,000 miles) for each mile travelled by the Temporary Healthcare Worker.   For the avoidance of doubt mileage shall be calculated in accordance with a ‘shortest available route’ type calculation on a reputable route planne</w:t>
      </w:r>
      <w:r>
        <w:rPr>
          <w:rFonts w:ascii="Arial" w:eastAsia="Arial" w:hAnsi="Arial" w:cs="Arial"/>
        </w:rPr>
        <w:t>r website. Unless the duty travel is from and to work locations, normal home to duty mileage is to be deducted from claims for mileage.</w:t>
      </w:r>
    </w:p>
    <w:p w:rsidR="00857519" w:rsidRDefault="00063E28">
      <w:pPr>
        <w:spacing w:line="240" w:lineRule="auto"/>
        <w:rPr>
          <w:rFonts w:ascii="Arial" w:eastAsia="Arial" w:hAnsi="Arial" w:cs="Arial"/>
        </w:rPr>
      </w:pPr>
      <w:r>
        <w:rPr>
          <w:rFonts w:ascii="Arial" w:eastAsia="Arial" w:hAnsi="Arial" w:cs="Arial"/>
        </w:rPr>
        <w:t>2.7.  Business Travel - Accommodation Expenses</w:t>
      </w:r>
    </w:p>
    <w:p w:rsidR="00857519" w:rsidRDefault="00063E28">
      <w:pPr>
        <w:spacing w:line="240" w:lineRule="auto"/>
        <w:rPr>
          <w:rFonts w:ascii="Arial" w:eastAsia="Arial" w:hAnsi="Arial" w:cs="Arial"/>
        </w:rPr>
      </w:pPr>
      <w:r>
        <w:rPr>
          <w:rFonts w:ascii="Arial" w:eastAsia="Arial" w:hAnsi="Arial" w:cs="Arial"/>
        </w:rPr>
        <w:t>2.7.1. Subject to paragraph 2.2. a Temporary Healthcare Worker may use th</w:t>
      </w:r>
      <w:r>
        <w:rPr>
          <w:rFonts w:ascii="Arial" w:eastAsia="Arial" w:hAnsi="Arial" w:cs="Arial"/>
        </w:rPr>
        <w:t>e following types of accommodation to undertake Business Travel:</w:t>
      </w:r>
    </w:p>
    <w:p w:rsidR="00857519" w:rsidRDefault="00063E28">
      <w:pPr>
        <w:spacing w:line="240" w:lineRule="auto"/>
        <w:rPr>
          <w:rFonts w:ascii="Arial" w:eastAsia="Arial" w:hAnsi="Arial" w:cs="Arial"/>
        </w:rPr>
      </w:pPr>
      <w:r>
        <w:rPr>
          <w:rFonts w:ascii="Arial" w:eastAsia="Arial" w:hAnsi="Arial" w:cs="Arial"/>
        </w:rPr>
        <w:lastRenderedPageBreak/>
        <w:t xml:space="preserve">2.7.1.1. Service Accommodation:  The Contracting Authority’s method of accommodation is Service Accommodation, and the Supplier shall ensure that the Temporary Healthcare Worker shall accept </w:t>
      </w:r>
      <w:r>
        <w:rPr>
          <w:rFonts w:ascii="Arial" w:eastAsia="Arial" w:hAnsi="Arial" w:cs="Arial"/>
        </w:rPr>
        <w:t>any offer of Service Accommodation. Only in the event that the Temporary Healthcare Worker has not been permitted to use Service Accommodation and secures a non-availability written confirmation from the Service Accommodation can the Temporary Healthcare W</w:t>
      </w:r>
      <w:r>
        <w:rPr>
          <w:rFonts w:ascii="Arial" w:eastAsia="Arial" w:hAnsi="Arial" w:cs="Arial"/>
        </w:rPr>
        <w:t>orker seek to stay in alternative types of accommodation.  Service Accommodation shall be charged at the Non-Entitled Rate during a Placement;</w:t>
      </w:r>
    </w:p>
    <w:p w:rsidR="00857519" w:rsidRDefault="00063E28">
      <w:pPr>
        <w:spacing w:line="240" w:lineRule="auto"/>
        <w:rPr>
          <w:rFonts w:ascii="Arial" w:eastAsia="Arial" w:hAnsi="Arial" w:cs="Arial"/>
        </w:rPr>
      </w:pPr>
      <w:r>
        <w:rPr>
          <w:rFonts w:ascii="Arial" w:eastAsia="Arial" w:hAnsi="Arial" w:cs="Arial"/>
        </w:rPr>
        <w:t xml:space="preserve">2.7.1.2.  Hotel/bed and breakfast accommodation:  Only in the event that the Temporary Healthcare Worker has not </w:t>
      </w:r>
      <w:r>
        <w:rPr>
          <w:rFonts w:ascii="Arial" w:eastAsia="Arial" w:hAnsi="Arial" w:cs="Arial"/>
        </w:rPr>
        <w:t xml:space="preserve">been permitted to use Service Accommodation shall the Temporary Healthcare Worker be permitted to use hotel/bed and breakfast accommodation. </w:t>
      </w:r>
    </w:p>
    <w:p w:rsidR="00857519" w:rsidRDefault="00063E28">
      <w:pPr>
        <w:spacing w:line="240" w:lineRule="auto"/>
        <w:rPr>
          <w:rFonts w:ascii="Arial" w:eastAsia="Arial" w:hAnsi="Arial" w:cs="Arial"/>
        </w:rPr>
      </w:pPr>
      <w:r>
        <w:rPr>
          <w:rFonts w:ascii="Arial" w:eastAsia="Arial" w:hAnsi="Arial" w:cs="Arial"/>
        </w:rPr>
        <w:t>2.7.2.</w:t>
      </w:r>
      <w:r>
        <w:rPr>
          <w:rFonts w:ascii="Arial" w:eastAsia="Arial" w:hAnsi="Arial" w:cs="Arial"/>
        </w:rPr>
        <w:tab/>
        <w:t>Subject always to the provisions of this paragraph 2.7 and to paragraphs 1.2 and 1.3, the Contracting Autho</w:t>
      </w:r>
      <w:r>
        <w:rPr>
          <w:rFonts w:ascii="Arial" w:eastAsia="Arial" w:hAnsi="Arial" w:cs="Arial"/>
        </w:rPr>
        <w:t>rity shall pay to the Supplier:</w:t>
      </w:r>
    </w:p>
    <w:p w:rsidR="00857519" w:rsidRDefault="00063E28">
      <w:pPr>
        <w:spacing w:line="240" w:lineRule="auto"/>
        <w:rPr>
          <w:rFonts w:ascii="Arial" w:eastAsia="Arial" w:hAnsi="Arial" w:cs="Arial"/>
        </w:rPr>
      </w:pPr>
      <w:r>
        <w:rPr>
          <w:rFonts w:ascii="Arial" w:eastAsia="Arial" w:hAnsi="Arial" w:cs="Arial"/>
        </w:rPr>
        <w:t xml:space="preserve">2.7.2.1 where accommodation Expenses have been incurred by a Temporary Healthcare Worker in respect of Service Accommodation, an amount equal to the cost of compulsory levied accommodation related costs, as set out within a </w:t>
      </w:r>
      <w:r>
        <w:rPr>
          <w:rFonts w:ascii="Arial" w:eastAsia="Arial" w:hAnsi="Arial" w:cs="Arial"/>
        </w:rPr>
        <w:t>Mess Bill. For the avoidance of doubt these compulsory levied costs may be described as subscriptions, visitor living accommodation and funds, visitors’ consumables per day, entertainments, gratuities, improvements.  Non-compulsory charges described within</w:t>
      </w:r>
      <w:r>
        <w:rPr>
          <w:rFonts w:ascii="Arial" w:eastAsia="Arial" w:hAnsi="Arial" w:cs="Arial"/>
        </w:rPr>
        <w:t xml:space="preserve"> a Mess Bill as subscriptions – visitor services and/or wi-fi charges or costs incurred in relation to personal laundry services or other personal items are not valid Expenses and are not eligible to be reimbursed; or</w:t>
      </w:r>
    </w:p>
    <w:p w:rsidR="00857519" w:rsidRDefault="00063E28">
      <w:pPr>
        <w:spacing w:line="240" w:lineRule="auto"/>
        <w:rPr>
          <w:rFonts w:ascii="Arial" w:eastAsia="Arial" w:hAnsi="Arial" w:cs="Arial"/>
        </w:rPr>
      </w:pPr>
      <w:r>
        <w:rPr>
          <w:rFonts w:ascii="Arial" w:eastAsia="Arial" w:hAnsi="Arial" w:cs="Arial"/>
        </w:rPr>
        <w:t xml:space="preserve">2.7.2.2. where accommodation Expenses </w:t>
      </w:r>
      <w:r>
        <w:rPr>
          <w:rFonts w:ascii="Arial" w:eastAsia="Arial" w:hAnsi="Arial" w:cs="Arial"/>
        </w:rPr>
        <w:t>have been incurred by a Temporary Healthcare Worker in respect of hotel and/or bed and breakfast accommodation, an amount equal to the amount spent solely in relation to the provision of accommodation as set out within an invoice/receipt and subject to the</w:t>
      </w:r>
      <w:r>
        <w:rPr>
          <w:rFonts w:ascii="Arial" w:eastAsia="Arial" w:hAnsi="Arial" w:cs="Arial"/>
        </w:rPr>
        <w:t xml:space="preserve"> Accommodation Cap which will be notified to the Temporary Healthcare Worker by the Hiring Manager. Costs incurred in relation to personal laundry services or other personal items are not valid Expenses and are not eligible to be reimbursed; </w:t>
      </w:r>
    </w:p>
    <w:p w:rsidR="00857519" w:rsidRDefault="00063E28">
      <w:pPr>
        <w:spacing w:line="240" w:lineRule="auto"/>
        <w:rPr>
          <w:rFonts w:ascii="Arial" w:eastAsia="Arial" w:hAnsi="Arial" w:cs="Arial"/>
        </w:rPr>
      </w:pPr>
      <w:r>
        <w:rPr>
          <w:rFonts w:ascii="Arial" w:eastAsia="Arial" w:hAnsi="Arial" w:cs="Arial"/>
        </w:rPr>
        <w:t>2.8.  Busines</w:t>
      </w:r>
      <w:r>
        <w:rPr>
          <w:rFonts w:ascii="Arial" w:eastAsia="Arial" w:hAnsi="Arial" w:cs="Arial"/>
        </w:rPr>
        <w:t>s Travel - Subsistence Expenses</w:t>
      </w:r>
    </w:p>
    <w:p w:rsidR="00857519" w:rsidRDefault="00063E28">
      <w:pPr>
        <w:spacing w:line="240" w:lineRule="auto"/>
        <w:rPr>
          <w:rFonts w:ascii="Arial" w:eastAsia="Arial" w:hAnsi="Arial" w:cs="Arial"/>
        </w:rPr>
      </w:pPr>
      <w:r>
        <w:rPr>
          <w:rFonts w:ascii="Arial" w:eastAsia="Arial" w:hAnsi="Arial" w:cs="Arial"/>
        </w:rPr>
        <w:t xml:space="preserve">2.8.1.  Subject to paragraph 2.3, when a Temporary Healthcare Worker incurs subsistence costs in relation to the purchasing of meals and/or refreshments whilst undertaking Business Travel, such costs shall be capped at:  </w:t>
      </w:r>
    </w:p>
    <w:p w:rsidR="00857519" w:rsidRDefault="00063E28">
      <w:pPr>
        <w:spacing w:line="240" w:lineRule="auto"/>
        <w:rPr>
          <w:rFonts w:ascii="Arial" w:eastAsia="Arial" w:hAnsi="Arial" w:cs="Arial"/>
        </w:rPr>
      </w:pPr>
      <w:r>
        <w:rPr>
          <w:rFonts w:ascii="Arial" w:eastAsia="Arial" w:hAnsi="Arial" w:cs="Arial"/>
        </w:rPr>
        <w:tab/>
        <w:t>2</w:t>
      </w:r>
      <w:r>
        <w:rPr>
          <w:rFonts w:ascii="Arial" w:eastAsia="Arial" w:hAnsi="Arial" w:cs="Arial"/>
        </w:rPr>
        <w:t xml:space="preserve">.8.1.1.  Breakfast - £5.00 per day </w:t>
      </w:r>
    </w:p>
    <w:p w:rsidR="00857519" w:rsidRDefault="00063E28">
      <w:pPr>
        <w:spacing w:line="240" w:lineRule="auto"/>
        <w:rPr>
          <w:rFonts w:ascii="Arial" w:eastAsia="Arial" w:hAnsi="Arial" w:cs="Arial"/>
        </w:rPr>
      </w:pPr>
      <w:r>
        <w:rPr>
          <w:rFonts w:ascii="Arial" w:eastAsia="Arial" w:hAnsi="Arial" w:cs="Arial"/>
        </w:rPr>
        <w:tab/>
        <w:t>2.8.1.2</w:t>
      </w:r>
      <w:r>
        <w:rPr>
          <w:rFonts w:ascii="Arial" w:eastAsia="Arial" w:hAnsi="Arial" w:cs="Arial"/>
        </w:rPr>
        <w:tab/>
        <w:t xml:space="preserve">   Lunch - £5.00 per day </w:t>
      </w:r>
    </w:p>
    <w:p w:rsidR="00857519" w:rsidRDefault="00063E28">
      <w:pPr>
        <w:spacing w:line="240" w:lineRule="auto"/>
        <w:rPr>
          <w:rFonts w:ascii="Arial" w:eastAsia="Arial" w:hAnsi="Arial" w:cs="Arial"/>
        </w:rPr>
      </w:pPr>
      <w:r>
        <w:rPr>
          <w:rFonts w:ascii="Arial" w:eastAsia="Arial" w:hAnsi="Arial" w:cs="Arial"/>
        </w:rPr>
        <w:tab/>
        <w:t>2.8.1.3</w:t>
      </w:r>
      <w:r>
        <w:rPr>
          <w:rFonts w:ascii="Arial" w:eastAsia="Arial" w:hAnsi="Arial" w:cs="Arial"/>
        </w:rPr>
        <w:tab/>
        <w:t xml:space="preserve">   Dinner - £25.00 per day </w:t>
      </w:r>
    </w:p>
    <w:p w:rsidR="00857519" w:rsidRDefault="00063E28">
      <w:pPr>
        <w:spacing w:line="240" w:lineRule="auto"/>
        <w:rPr>
          <w:rFonts w:ascii="Arial" w:eastAsia="Arial" w:hAnsi="Arial" w:cs="Arial"/>
        </w:rPr>
      </w:pPr>
      <w:r>
        <w:rPr>
          <w:rFonts w:ascii="Arial" w:eastAsia="Arial" w:hAnsi="Arial" w:cs="Arial"/>
        </w:rPr>
        <w:t xml:space="preserve">2.8.2 </w:t>
      </w:r>
      <w:r>
        <w:rPr>
          <w:rFonts w:ascii="Arial" w:eastAsia="Arial" w:hAnsi="Arial" w:cs="Arial"/>
        </w:rPr>
        <w:tab/>
        <w:t>Save for the circumstances set out in paragraph 2.8.3 below, where a Temporary Healthcare Worker is accommodated in Service Accommodation, th</w:t>
      </w:r>
      <w:r>
        <w:rPr>
          <w:rFonts w:ascii="Arial" w:eastAsia="Arial" w:hAnsi="Arial" w:cs="Arial"/>
        </w:rPr>
        <w:t xml:space="preserve">e Temporary Healthcare Worker is only eligible for reimbursement of subsistence Expenses incurred within the Service Accommodation and is not eligible for reimbursement of subsistence costs incurred elsewhere.  For the avoidance of doubt, when a Temporary </w:t>
      </w:r>
      <w:r>
        <w:rPr>
          <w:rFonts w:ascii="Arial" w:eastAsia="Arial" w:hAnsi="Arial" w:cs="Arial"/>
        </w:rPr>
        <w:t>Healthcare Worker is accommodated within Service Accommodation there is an expectation that all meals will be taken within the Service Accommodation.</w:t>
      </w:r>
    </w:p>
    <w:p w:rsidR="00857519" w:rsidRDefault="00063E28">
      <w:pPr>
        <w:spacing w:line="240" w:lineRule="auto"/>
        <w:rPr>
          <w:rFonts w:ascii="Arial" w:eastAsia="Arial" w:hAnsi="Arial" w:cs="Arial"/>
        </w:rPr>
      </w:pPr>
      <w:r>
        <w:rPr>
          <w:rFonts w:ascii="Arial" w:eastAsia="Arial" w:hAnsi="Arial" w:cs="Arial"/>
        </w:rPr>
        <w:t>2.8.3.</w:t>
      </w:r>
      <w:r>
        <w:rPr>
          <w:rFonts w:ascii="Arial" w:eastAsia="Arial" w:hAnsi="Arial" w:cs="Arial"/>
        </w:rPr>
        <w:tab/>
        <w:t>Subject always to the provisions of this paragraph 2.8 and to paragraphs 1.2 and 1.3, the Contracti</w:t>
      </w:r>
      <w:r>
        <w:rPr>
          <w:rFonts w:ascii="Arial" w:eastAsia="Arial" w:hAnsi="Arial" w:cs="Arial"/>
        </w:rPr>
        <w:t>ng Authority shall pay to the Supplier:</w:t>
      </w:r>
    </w:p>
    <w:p w:rsidR="00857519" w:rsidRDefault="00063E28">
      <w:pPr>
        <w:spacing w:line="240" w:lineRule="auto"/>
        <w:rPr>
          <w:rFonts w:ascii="Arial" w:eastAsia="Arial" w:hAnsi="Arial" w:cs="Arial"/>
        </w:rPr>
      </w:pPr>
      <w:r>
        <w:rPr>
          <w:rFonts w:ascii="Arial" w:eastAsia="Arial" w:hAnsi="Arial" w:cs="Arial"/>
        </w:rPr>
        <w:t xml:space="preserve">2.8.3.1. Where subsistence Expenses have been incurred by a Temporary Healthcare Worker within Service Accommodation, an amount equal to the amount set out in a Mess Bill. For the avoidance of doubt such subsistence </w:t>
      </w:r>
      <w:r>
        <w:rPr>
          <w:rFonts w:ascii="Arial" w:eastAsia="Arial" w:hAnsi="Arial" w:cs="Arial"/>
        </w:rPr>
        <w:t xml:space="preserve">costs may be described as Messing &amp; PAYD at Sg Mess, </w:t>
      </w:r>
      <w:r>
        <w:rPr>
          <w:rFonts w:ascii="Arial" w:eastAsia="Arial" w:hAnsi="Arial" w:cs="Arial"/>
        </w:rPr>
        <w:lastRenderedPageBreak/>
        <w:t>or similar.  Any costs described within a Mess Bill as Bar Bill, Extra Messing, Miscellaneous Messing and Summer/Winter Ball are not valid Expenses and are not eligible to be reimbursed; or</w:t>
      </w:r>
    </w:p>
    <w:p w:rsidR="00857519" w:rsidRDefault="00063E28">
      <w:pPr>
        <w:spacing w:line="240" w:lineRule="auto"/>
        <w:rPr>
          <w:rFonts w:ascii="Arial" w:eastAsia="Arial" w:hAnsi="Arial" w:cs="Arial"/>
        </w:rPr>
      </w:pPr>
      <w:r>
        <w:rPr>
          <w:rFonts w:ascii="Arial" w:eastAsia="Arial" w:hAnsi="Arial" w:cs="Arial"/>
        </w:rPr>
        <w:t>2.8.3.2. Wher</w:t>
      </w:r>
      <w:r>
        <w:rPr>
          <w:rFonts w:ascii="Arial" w:eastAsia="Arial" w:hAnsi="Arial" w:cs="Arial"/>
        </w:rPr>
        <w:t>e subsistence Expenses have been incurred by a Temporary Healthcare Worker at a location other than Service Accommodation, an amount equal to the amount set out in a receipt or invoice. Any costs described within a receipt or invoice as relating to alcohol</w:t>
      </w:r>
      <w:r>
        <w:rPr>
          <w:rFonts w:ascii="Arial" w:eastAsia="Arial" w:hAnsi="Arial" w:cs="Arial"/>
        </w:rPr>
        <w:t xml:space="preserve">, plastic bags, stationery, personal or toiletry items or other miscellaneous costs are not valid Expenses and are not eligible to be reimbursed. </w:t>
      </w:r>
    </w:p>
    <w:p w:rsidR="00857519" w:rsidRDefault="00063E28">
      <w:pPr>
        <w:spacing w:line="240" w:lineRule="auto"/>
        <w:rPr>
          <w:rFonts w:ascii="Arial" w:eastAsia="Arial" w:hAnsi="Arial" w:cs="Arial"/>
        </w:rPr>
      </w:pPr>
      <w:r>
        <w:rPr>
          <w:rFonts w:ascii="Arial" w:eastAsia="Arial" w:hAnsi="Arial" w:cs="Arial"/>
        </w:rPr>
        <w:t xml:space="preserve">3. Placements in Non-GB Mainland Locations </w:t>
      </w:r>
    </w:p>
    <w:p w:rsidR="00857519" w:rsidRDefault="00063E28">
      <w:pPr>
        <w:spacing w:line="240" w:lineRule="auto"/>
        <w:rPr>
          <w:rFonts w:ascii="Arial" w:eastAsia="Arial" w:hAnsi="Arial" w:cs="Arial"/>
        </w:rPr>
      </w:pPr>
      <w:r>
        <w:rPr>
          <w:rFonts w:ascii="Arial" w:eastAsia="Arial" w:hAnsi="Arial" w:cs="Arial"/>
        </w:rPr>
        <w:t>3.1</w:t>
      </w:r>
      <w:r>
        <w:rPr>
          <w:rFonts w:ascii="Arial" w:eastAsia="Arial" w:hAnsi="Arial" w:cs="Arial"/>
        </w:rPr>
        <w:tab/>
        <w:t xml:space="preserve">Essential Non-Business Travel </w:t>
      </w:r>
    </w:p>
    <w:p w:rsidR="00857519" w:rsidRDefault="00063E28">
      <w:pPr>
        <w:spacing w:line="240" w:lineRule="auto"/>
        <w:rPr>
          <w:rFonts w:ascii="Arial" w:eastAsia="Arial" w:hAnsi="Arial" w:cs="Arial"/>
        </w:rPr>
      </w:pPr>
      <w:r>
        <w:rPr>
          <w:rFonts w:ascii="Arial" w:eastAsia="Arial" w:hAnsi="Arial" w:cs="Arial"/>
        </w:rPr>
        <w:t>3.1.1 Any claims for travel co</w:t>
      </w:r>
      <w:r>
        <w:rPr>
          <w:rFonts w:ascii="Arial" w:eastAsia="Arial" w:hAnsi="Arial" w:cs="Arial"/>
        </w:rPr>
        <w:t>sts permitted in accordance with paragraphs 3.2 and 3.3 below shall only be paid for essential travel (in the Contracting Authority’s reasonable opinion) by a Temporary Healthcare Worker to a Non-GB Mainland Placement Location at the beginning of a Placeme</w:t>
      </w:r>
      <w:r>
        <w:rPr>
          <w:rFonts w:ascii="Arial" w:eastAsia="Arial" w:hAnsi="Arial" w:cs="Arial"/>
        </w:rPr>
        <w:t>nt and for travel home from a Non-GB Mainland Placement Location at the end of a Placement (“Essential Non-Business Travel”). For the avoidance of doubt, the Contracting Authority shall not pay for any further travel which is not required for the provision</w:t>
      </w:r>
      <w:r>
        <w:rPr>
          <w:rFonts w:ascii="Arial" w:eastAsia="Arial" w:hAnsi="Arial" w:cs="Arial"/>
        </w:rPr>
        <w:t xml:space="preserve"> of the Service Requirements, for example if the Temporary Healthcare Worker wishes to travel home at weekends during the Placement.</w:t>
      </w:r>
    </w:p>
    <w:p w:rsidR="00857519" w:rsidRDefault="00063E28">
      <w:pPr>
        <w:spacing w:line="240" w:lineRule="auto"/>
        <w:rPr>
          <w:rFonts w:ascii="Arial" w:eastAsia="Arial" w:hAnsi="Arial" w:cs="Arial"/>
        </w:rPr>
      </w:pPr>
      <w:r>
        <w:rPr>
          <w:rFonts w:ascii="Arial" w:eastAsia="Arial" w:hAnsi="Arial" w:cs="Arial"/>
        </w:rPr>
        <w:t>3.1.2 The Contracting Authority shall not pay any amount to the Supplier for any travel costs incurred by a Temporary Healt</w:t>
      </w:r>
      <w:r>
        <w:rPr>
          <w:rFonts w:ascii="Arial" w:eastAsia="Arial" w:hAnsi="Arial" w:cs="Arial"/>
        </w:rPr>
        <w:t>hcare Worker in respect of travel undertaken either from their home to a GB mainland airport or from a GB mainland airport to the Temporary Healthcare Worker’s home.</w:t>
      </w:r>
    </w:p>
    <w:p w:rsidR="00857519" w:rsidRDefault="00063E28">
      <w:pPr>
        <w:spacing w:line="240" w:lineRule="auto"/>
        <w:rPr>
          <w:rFonts w:ascii="Arial" w:eastAsia="Arial" w:hAnsi="Arial" w:cs="Arial"/>
        </w:rPr>
      </w:pPr>
      <w:r>
        <w:rPr>
          <w:rFonts w:ascii="Arial" w:eastAsia="Arial" w:hAnsi="Arial" w:cs="Arial"/>
        </w:rPr>
        <w:t>3.1.3 The Contracting Authority shall not pay any amount to the Supplier for any time a Te</w:t>
      </w:r>
      <w:r>
        <w:rPr>
          <w:rFonts w:ascii="Arial" w:eastAsia="Arial" w:hAnsi="Arial" w:cs="Arial"/>
        </w:rPr>
        <w:t>mporary Healthcare Worker spends travelling to or from a Non-GB Mainland Placement Location.  For the avoidance of doubt, the Charges shall only be payable for those hours each day during which a Temporary Healthcare Worker is directly providing the Servic</w:t>
      </w:r>
      <w:r>
        <w:rPr>
          <w:rFonts w:ascii="Arial" w:eastAsia="Arial" w:hAnsi="Arial" w:cs="Arial"/>
        </w:rPr>
        <w:t>e Requirements as required by the Contracting Authority.</w:t>
      </w:r>
    </w:p>
    <w:p w:rsidR="00857519" w:rsidRDefault="00063E28">
      <w:pPr>
        <w:spacing w:line="240" w:lineRule="auto"/>
        <w:rPr>
          <w:rFonts w:ascii="Arial" w:eastAsia="Arial" w:hAnsi="Arial" w:cs="Arial"/>
        </w:rPr>
      </w:pPr>
      <w:r>
        <w:rPr>
          <w:rFonts w:ascii="Arial" w:eastAsia="Arial" w:hAnsi="Arial" w:cs="Arial"/>
        </w:rPr>
        <w:t xml:space="preserve">3.2 Essential Non-Business Travel by Air to/from Non-GB Mainland Placement Locations: </w:t>
      </w:r>
    </w:p>
    <w:p w:rsidR="00857519" w:rsidRDefault="00063E28">
      <w:pPr>
        <w:spacing w:line="240" w:lineRule="auto"/>
        <w:rPr>
          <w:rFonts w:ascii="Arial" w:eastAsia="Arial" w:hAnsi="Arial" w:cs="Arial"/>
        </w:rPr>
      </w:pPr>
      <w:r>
        <w:rPr>
          <w:rFonts w:ascii="Arial" w:eastAsia="Arial" w:hAnsi="Arial" w:cs="Arial"/>
        </w:rPr>
        <w:t>3.2.1 Subject to paragraph 1.2, where a Temporary Healthcare Worker is required to undertake Essential Non-Busin</w:t>
      </w:r>
      <w:r>
        <w:rPr>
          <w:rFonts w:ascii="Arial" w:eastAsia="Arial" w:hAnsi="Arial" w:cs="Arial"/>
        </w:rPr>
        <w:t>ess Travel by air the Contracting Authority shall pay to the Supplier an amount equal to the cost of such air travel to and/or from the Non-GB Placement Location incurred by the Supplier or the Temporary Healthcare Worker subject also to the following prov</w:t>
      </w:r>
      <w:r>
        <w:rPr>
          <w:rFonts w:ascii="Arial" w:eastAsia="Arial" w:hAnsi="Arial" w:cs="Arial"/>
        </w:rPr>
        <w:t xml:space="preserve">isions:  </w:t>
      </w:r>
    </w:p>
    <w:p w:rsidR="00857519" w:rsidRDefault="00063E28">
      <w:pPr>
        <w:spacing w:line="240" w:lineRule="auto"/>
        <w:ind w:left="720"/>
        <w:rPr>
          <w:rFonts w:ascii="Arial" w:eastAsia="Arial" w:hAnsi="Arial" w:cs="Arial"/>
        </w:rPr>
      </w:pPr>
      <w:r>
        <w:rPr>
          <w:rFonts w:ascii="Arial" w:eastAsia="Arial" w:hAnsi="Arial" w:cs="Arial"/>
        </w:rPr>
        <w:t>3.2.1.1 Contracting Authority Flights shall be used wherever possible, details of which shall be provided to the Supplier by the Contracting Authority following selection of a Temporary Healthcare Worker for a Placement and booked by the Hiring M</w:t>
      </w:r>
      <w:r>
        <w:rPr>
          <w:rFonts w:ascii="Arial" w:eastAsia="Arial" w:hAnsi="Arial" w:cs="Arial"/>
        </w:rPr>
        <w:t>anager.  Where a Contracting Authority Flight is available no amount shall be paid to the Supplier in respect of air travel;</w:t>
      </w:r>
    </w:p>
    <w:p w:rsidR="00857519" w:rsidRDefault="00063E28">
      <w:pPr>
        <w:spacing w:line="240" w:lineRule="auto"/>
        <w:ind w:left="720"/>
        <w:rPr>
          <w:rFonts w:ascii="Arial" w:eastAsia="Arial" w:hAnsi="Arial" w:cs="Arial"/>
        </w:rPr>
      </w:pPr>
      <w:r>
        <w:rPr>
          <w:rFonts w:ascii="Arial" w:eastAsia="Arial" w:hAnsi="Arial" w:cs="Arial"/>
        </w:rPr>
        <w:t>3.2.1.2 where the Contracting Authority has provided written confirmation that a Contracting Authority Flight is unavailable, the S</w:t>
      </w:r>
      <w:r>
        <w:rPr>
          <w:rFonts w:ascii="Arial" w:eastAsia="Arial" w:hAnsi="Arial" w:cs="Arial"/>
        </w:rPr>
        <w:t xml:space="preserve">upplier shall utilise the most cost-effective commercial airline economy airfare available at the time (first class and business class travel is not permitted in any circumstances).  Where the cost of such a flight (when added to any sums already incurred </w:t>
      </w:r>
      <w:r>
        <w:rPr>
          <w:rFonts w:ascii="Arial" w:eastAsia="Arial" w:hAnsi="Arial" w:cs="Arial"/>
        </w:rPr>
        <w:t xml:space="preserve">on Essential Non-Business Travel for the Placement) is less than the Pre-Approved Travel Limit for all Essential Non-Business Travel costs for the Placement, the Supplier is not required to seek Contracting Authority approval prior to booking the flights, </w:t>
      </w:r>
      <w:r>
        <w:rPr>
          <w:rFonts w:ascii="Arial" w:eastAsia="Arial" w:hAnsi="Arial" w:cs="Arial"/>
        </w:rPr>
        <w:t xml:space="preserve">provided that the Supplier </w:t>
      </w:r>
      <w:r>
        <w:rPr>
          <w:rFonts w:ascii="Arial" w:eastAsia="Arial" w:hAnsi="Arial" w:cs="Arial"/>
        </w:rPr>
        <w:lastRenderedPageBreak/>
        <w:t xml:space="preserve">can demonstrate on request that the flight is the most cost effective and the costs incurred are reasonable.  </w:t>
      </w:r>
    </w:p>
    <w:p w:rsidR="00857519" w:rsidRDefault="00063E28">
      <w:pPr>
        <w:spacing w:line="240" w:lineRule="auto"/>
        <w:ind w:left="720"/>
        <w:rPr>
          <w:rFonts w:ascii="Arial" w:eastAsia="Arial" w:hAnsi="Arial" w:cs="Arial"/>
        </w:rPr>
      </w:pPr>
      <w:r>
        <w:rPr>
          <w:rFonts w:ascii="Arial" w:eastAsia="Arial" w:hAnsi="Arial" w:cs="Arial"/>
        </w:rPr>
        <w:t>3.2.1.3 where the cost of the flights (when added to any other sums already incurred on Essential Non-Business Travel for Placement) will exceed the Pre-Approved Travel Limit for all Essential Non-Business Travel costs for the Placement the Supplier must s</w:t>
      </w:r>
      <w:r>
        <w:rPr>
          <w:rFonts w:ascii="Arial" w:eastAsia="Arial" w:hAnsi="Arial" w:cs="Arial"/>
        </w:rPr>
        <w:t>eek the Authority’s approval prior to incurring any costs (such approval to be granted by the Contracting Authority if it believes the costs to be reasonable in its sole opinion).  In the event that no prior approval is granted by the Authority, the Contra</w:t>
      </w:r>
      <w:r>
        <w:rPr>
          <w:rFonts w:ascii="Arial" w:eastAsia="Arial" w:hAnsi="Arial" w:cs="Arial"/>
        </w:rPr>
        <w:t>cting Authority shall not be liable for any such costs; and</w:t>
      </w:r>
    </w:p>
    <w:p w:rsidR="00857519" w:rsidRDefault="00063E28">
      <w:pPr>
        <w:spacing w:line="240" w:lineRule="auto"/>
        <w:ind w:left="720"/>
        <w:rPr>
          <w:rFonts w:ascii="Arial" w:eastAsia="Arial" w:hAnsi="Arial" w:cs="Arial"/>
        </w:rPr>
      </w:pPr>
      <w:r>
        <w:rPr>
          <w:rFonts w:ascii="Arial" w:eastAsia="Arial" w:hAnsi="Arial" w:cs="Arial"/>
        </w:rPr>
        <w:t>3.2.1.4 the Contracting Authority shall not be liable for any costs incurred by the Supplier associated with air travel where a Temporary Healthcare Worker travels other than in economy class.</w:t>
      </w:r>
    </w:p>
    <w:p w:rsidR="00857519" w:rsidRDefault="00063E28">
      <w:pPr>
        <w:spacing w:line="240" w:lineRule="auto"/>
        <w:rPr>
          <w:rFonts w:ascii="Arial" w:eastAsia="Arial" w:hAnsi="Arial" w:cs="Arial"/>
        </w:rPr>
      </w:pPr>
      <w:r>
        <w:rPr>
          <w:rFonts w:ascii="Arial" w:eastAsia="Arial" w:hAnsi="Arial" w:cs="Arial"/>
        </w:rPr>
        <w:t>3.3</w:t>
      </w:r>
      <w:r>
        <w:rPr>
          <w:rFonts w:ascii="Arial" w:eastAsia="Arial" w:hAnsi="Arial" w:cs="Arial"/>
        </w:rPr>
        <w:t xml:space="preserve"> Essential Non-Business Travel by Public Transport (rail, bus, taxi) to/from Non-GB Mainland Placement Locations:</w:t>
      </w:r>
    </w:p>
    <w:p w:rsidR="00857519" w:rsidRDefault="00063E28">
      <w:pPr>
        <w:spacing w:line="240" w:lineRule="auto"/>
        <w:rPr>
          <w:rFonts w:ascii="Arial" w:eastAsia="Arial" w:hAnsi="Arial" w:cs="Arial"/>
        </w:rPr>
      </w:pPr>
      <w:r>
        <w:rPr>
          <w:rFonts w:ascii="Arial" w:eastAsia="Arial" w:hAnsi="Arial" w:cs="Arial"/>
        </w:rPr>
        <w:t>3.3.1 Subject to paragraph 1.2, where a Temporary Healthcare Worker is required to undertake Essential Non-Business Travel by public transport</w:t>
      </w:r>
      <w:r>
        <w:rPr>
          <w:rFonts w:ascii="Arial" w:eastAsia="Arial" w:hAnsi="Arial" w:cs="Arial"/>
        </w:rPr>
        <w:t xml:space="preserve"> (excluding air travel) the Contracting Authority shall pay to the Supplier an amount equal to the cost of such public transport incurred by the Supplier or the Temporary Healthcare Worker, subject also to the following provisions: </w:t>
      </w:r>
    </w:p>
    <w:p w:rsidR="00857519" w:rsidRDefault="00063E28">
      <w:pPr>
        <w:spacing w:line="240" w:lineRule="auto"/>
        <w:ind w:left="720"/>
        <w:rPr>
          <w:rFonts w:ascii="Arial" w:eastAsia="Arial" w:hAnsi="Arial" w:cs="Arial"/>
        </w:rPr>
      </w:pPr>
      <w:proofErr w:type="gramStart"/>
      <w:r>
        <w:rPr>
          <w:rFonts w:ascii="Arial" w:eastAsia="Arial" w:hAnsi="Arial" w:cs="Arial"/>
        </w:rPr>
        <w:t>3.3.1.1  The</w:t>
      </w:r>
      <w:proofErr w:type="gramEnd"/>
      <w:r>
        <w:rPr>
          <w:rFonts w:ascii="Arial" w:eastAsia="Arial" w:hAnsi="Arial" w:cs="Arial"/>
        </w:rPr>
        <w:t xml:space="preserve"> Temporary Healthcare Worker shall travel only by standard class (i.e. not first class), and wherever possible travel should be at off-peak times.  Where the Temporary Healthcare Worker travels other than in standard class the Contracting Autho</w:t>
      </w:r>
      <w:r>
        <w:rPr>
          <w:rFonts w:ascii="Arial" w:eastAsia="Arial" w:hAnsi="Arial" w:cs="Arial"/>
        </w:rPr>
        <w:t>rity shall not be liable for any travel costs;</w:t>
      </w:r>
    </w:p>
    <w:p w:rsidR="00857519" w:rsidRDefault="00063E28">
      <w:pPr>
        <w:spacing w:line="240" w:lineRule="auto"/>
        <w:ind w:left="720"/>
        <w:rPr>
          <w:rFonts w:ascii="Arial" w:eastAsia="Arial" w:hAnsi="Arial" w:cs="Arial"/>
        </w:rPr>
      </w:pPr>
      <w:r>
        <w:rPr>
          <w:rFonts w:ascii="Arial" w:eastAsia="Arial" w:hAnsi="Arial" w:cs="Arial"/>
        </w:rPr>
        <w:t>3.3.1.2 where a Temporary Healthcare Worker is reasonably required to travel by taxi to or from a Non-GB Mainland Placement Location prior to the beginning or after the end of a Placement, taxi fares shall onl</w:t>
      </w:r>
      <w:r>
        <w:rPr>
          <w:rFonts w:ascii="Arial" w:eastAsia="Arial" w:hAnsi="Arial" w:cs="Arial"/>
        </w:rPr>
        <w:t>y be reimbursed by the Contracting Authority for travel to and/or from the nearest rail station or bus route to the Non-GB Mainland Placement Location;</w:t>
      </w:r>
    </w:p>
    <w:p w:rsidR="00857519" w:rsidRDefault="00063E28">
      <w:pPr>
        <w:spacing w:line="240" w:lineRule="auto"/>
        <w:ind w:left="720"/>
        <w:rPr>
          <w:rFonts w:ascii="Arial" w:eastAsia="Arial" w:hAnsi="Arial" w:cs="Arial"/>
        </w:rPr>
      </w:pPr>
      <w:r>
        <w:rPr>
          <w:rFonts w:ascii="Arial" w:eastAsia="Arial" w:hAnsi="Arial" w:cs="Arial"/>
        </w:rPr>
        <w:t>3.3.1.3 where the cost of public transport (when added to any other sums already incurred on Essential N</w:t>
      </w:r>
      <w:r>
        <w:rPr>
          <w:rFonts w:ascii="Arial" w:eastAsia="Arial" w:hAnsi="Arial" w:cs="Arial"/>
        </w:rPr>
        <w:t>on-Business Travel for the placement) is less than the Pre-Approved Travel Limit for all Essential Non-Business Travel costs for the Placement, the Supplier is not required to seek Contracting Authority approval prior to booking and paying for the public t</w:t>
      </w:r>
      <w:r>
        <w:rPr>
          <w:rFonts w:ascii="Arial" w:eastAsia="Arial" w:hAnsi="Arial" w:cs="Arial"/>
        </w:rPr>
        <w:t>ransport, provided that the Supplier can demonstrate to the Contracting Authority on request that the method and route of travel is the most cost effective and the costs incurred are reasonable;</w:t>
      </w:r>
    </w:p>
    <w:p w:rsidR="00857519" w:rsidRDefault="00063E28">
      <w:pPr>
        <w:spacing w:line="240" w:lineRule="auto"/>
        <w:ind w:left="720"/>
        <w:rPr>
          <w:rFonts w:ascii="Arial" w:eastAsia="Arial" w:hAnsi="Arial" w:cs="Arial"/>
        </w:rPr>
      </w:pPr>
      <w:r>
        <w:rPr>
          <w:rFonts w:ascii="Arial" w:eastAsia="Arial" w:hAnsi="Arial" w:cs="Arial"/>
        </w:rPr>
        <w:t>3.3.1.4 where the amount proposed to be spent by the Supplier</w:t>
      </w:r>
      <w:r>
        <w:rPr>
          <w:rFonts w:ascii="Arial" w:eastAsia="Arial" w:hAnsi="Arial" w:cs="Arial"/>
        </w:rPr>
        <w:t xml:space="preserve"> or Temporary Healthcare Worker on public transport (when added to any sums already incurred on Essential Non-Business Travel for the Placement) exceeds the Pre-Approved Travel Limit for all Essential Non-Business Travel costs for the placement, the Suppli</w:t>
      </w:r>
      <w:r>
        <w:rPr>
          <w:rFonts w:ascii="Arial" w:eastAsia="Arial" w:hAnsi="Arial" w:cs="Arial"/>
        </w:rPr>
        <w:t xml:space="preserve">er must seek the Authority’s approval prior to incurring such costs (such approved to be granted by the Contracting Authority if it believes the costs to be reasonable in its sole opinion).  In the event that no prior approval is granted by the Authority, </w:t>
      </w:r>
      <w:r>
        <w:rPr>
          <w:rFonts w:ascii="Arial" w:eastAsia="Arial" w:hAnsi="Arial" w:cs="Arial"/>
        </w:rPr>
        <w:t>the Contracting Authority shall not be liable for any such costs;</w:t>
      </w:r>
    </w:p>
    <w:p w:rsidR="00857519" w:rsidRDefault="00063E28">
      <w:pPr>
        <w:spacing w:line="240" w:lineRule="auto"/>
        <w:rPr>
          <w:rFonts w:ascii="Arial" w:eastAsia="Arial" w:hAnsi="Arial" w:cs="Arial"/>
        </w:rPr>
      </w:pPr>
      <w:r>
        <w:rPr>
          <w:rFonts w:ascii="Arial" w:eastAsia="Arial" w:hAnsi="Arial" w:cs="Arial"/>
        </w:rPr>
        <w:t>3.3.2 Public Transport (rail, bus, taxi) for Business Travel in Non-GB Mainland Placement Locations:</w:t>
      </w:r>
    </w:p>
    <w:p w:rsidR="00857519" w:rsidRDefault="00063E28">
      <w:pPr>
        <w:spacing w:line="240" w:lineRule="auto"/>
        <w:rPr>
          <w:rFonts w:ascii="Arial" w:eastAsia="Arial" w:hAnsi="Arial" w:cs="Arial"/>
        </w:rPr>
      </w:pPr>
      <w:r>
        <w:rPr>
          <w:rFonts w:ascii="Arial" w:eastAsia="Arial" w:hAnsi="Arial" w:cs="Arial"/>
        </w:rPr>
        <w:t>3.3.2.1 Where a Temporary Healthcare Worker is required by the Contracting Authority to u</w:t>
      </w:r>
      <w:r>
        <w:rPr>
          <w:rFonts w:ascii="Arial" w:eastAsia="Arial" w:hAnsi="Arial" w:cs="Arial"/>
        </w:rPr>
        <w:t xml:space="preserve">ndertake Business Travel from a Non-GB Mainland Placement Location the provisions in </w:t>
      </w:r>
      <w:r>
        <w:rPr>
          <w:rFonts w:ascii="Arial" w:eastAsia="Arial" w:hAnsi="Arial" w:cs="Arial"/>
        </w:rPr>
        <w:lastRenderedPageBreak/>
        <w:t>relation to Business Travel in GB-Mainland Locations as set out in paragraphs 2.1 to 2.8 above shall apply.</w:t>
      </w:r>
    </w:p>
    <w:p w:rsidR="00857519" w:rsidRDefault="00063E28">
      <w:pPr>
        <w:spacing w:line="240" w:lineRule="auto"/>
        <w:rPr>
          <w:rFonts w:ascii="Arial" w:eastAsia="Arial" w:hAnsi="Arial" w:cs="Arial"/>
        </w:rPr>
      </w:pPr>
      <w:r>
        <w:rPr>
          <w:rFonts w:ascii="Arial" w:eastAsia="Arial" w:hAnsi="Arial" w:cs="Arial"/>
        </w:rPr>
        <w:t>3.4 Accommodation in a Non-GB-Mainland Placement Location</w:t>
      </w:r>
    </w:p>
    <w:p w:rsidR="00857519" w:rsidRDefault="00063E28">
      <w:pPr>
        <w:spacing w:line="240" w:lineRule="auto"/>
        <w:rPr>
          <w:rFonts w:ascii="Arial" w:eastAsia="Arial" w:hAnsi="Arial" w:cs="Arial"/>
        </w:rPr>
      </w:pPr>
      <w:r>
        <w:rPr>
          <w:rFonts w:ascii="Arial" w:eastAsia="Arial" w:hAnsi="Arial" w:cs="Arial"/>
        </w:rPr>
        <w:t>3.4.1</w:t>
      </w:r>
      <w:r>
        <w:rPr>
          <w:rFonts w:ascii="Arial" w:eastAsia="Arial" w:hAnsi="Arial" w:cs="Arial"/>
        </w:rPr>
        <w:t xml:space="preserve"> Subject to paragraph 1.2, where a Temporary Healthcare Worker requests accommodation during a Placement in a Non GB-Mainland Location and the Contracting Authority approves, in advance, such a request (acting reasonably taking into account the location of</w:t>
      </w:r>
      <w:r>
        <w:rPr>
          <w:rFonts w:ascii="Arial" w:eastAsia="Arial" w:hAnsi="Arial" w:cs="Arial"/>
        </w:rPr>
        <w:t xml:space="preserve"> the usual place of residence of the Temporary Healthcare Worker) the Contracting Authority shall pay to the Supplier an amount equal to the cost of the accommodation incurred by the Supplier or the Temporary Healthcare Worker subject also to the following</w:t>
      </w:r>
      <w:r>
        <w:rPr>
          <w:rFonts w:ascii="Arial" w:eastAsia="Arial" w:hAnsi="Arial" w:cs="Arial"/>
        </w:rPr>
        <w:t xml:space="preserve"> provisions:  </w:t>
      </w:r>
    </w:p>
    <w:p w:rsidR="00857519" w:rsidRDefault="00063E28">
      <w:pPr>
        <w:spacing w:line="240" w:lineRule="auto"/>
        <w:ind w:left="720"/>
        <w:rPr>
          <w:rFonts w:ascii="Arial" w:eastAsia="Arial" w:hAnsi="Arial" w:cs="Arial"/>
        </w:rPr>
      </w:pPr>
      <w:r>
        <w:rPr>
          <w:rFonts w:ascii="Arial" w:eastAsia="Arial" w:hAnsi="Arial" w:cs="Arial"/>
        </w:rPr>
        <w:t>3.4.1.1 the Temporary Healthcare Worker shall be offered Service Accommodation at the Placement Location only where available. Such Service Accommodation shall be charged at the Non-Entitled Rate applicable at the Placement Location;</w:t>
      </w:r>
    </w:p>
    <w:p w:rsidR="00857519" w:rsidRDefault="00063E28">
      <w:pPr>
        <w:spacing w:line="240" w:lineRule="auto"/>
        <w:ind w:left="720"/>
        <w:rPr>
          <w:rFonts w:ascii="Arial" w:eastAsia="Arial" w:hAnsi="Arial" w:cs="Arial"/>
        </w:rPr>
      </w:pPr>
      <w:r>
        <w:rPr>
          <w:rFonts w:ascii="Arial" w:eastAsia="Arial" w:hAnsi="Arial" w:cs="Arial"/>
        </w:rPr>
        <w:t>3.4.1.2</w:t>
      </w:r>
      <w:r>
        <w:rPr>
          <w:rFonts w:ascii="Arial" w:eastAsia="Arial" w:hAnsi="Arial" w:cs="Arial"/>
        </w:rPr>
        <w:t xml:space="preserve"> the Temporary Healthcare Worker shall be responsible for paying all accommodation and service charges relating to Service Accommodation including meal charges at the applicable Non-Entitled Rate during a placement;</w:t>
      </w:r>
    </w:p>
    <w:p w:rsidR="00857519" w:rsidRDefault="00063E28">
      <w:pPr>
        <w:spacing w:line="240" w:lineRule="auto"/>
        <w:ind w:left="720"/>
        <w:rPr>
          <w:rFonts w:ascii="Arial" w:eastAsia="Arial" w:hAnsi="Arial" w:cs="Arial"/>
        </w:rPr>
      </w:pPr>
      <w:r>
        <w:rPr>
          <w:rFonts w:ascii="Arial" w:eastAsia="Arial" w:hAnsi="Arial" w:cs="Arial"/>
        </w:rPr>
        <w:t xml:space="preserve">3.4.1.3 the Contracting Authority shall </w:t>
      </w:r>
      <w:r>
        <w:rPr>
          <w:rFonts w:ascii="Arial" w:eastAsia="Arial" w:hAnsi="Arial" w:cs="Arial"/>
        </w:rPr>
        <w:t>pay to the Supplier an amount equal to the cost of the compulsory levied Service Accommodation costs, as set out within a Mess Bill, at the applicable Non-Entitled Rate incurred by the Temporary Healthcare Worker during a Placement. For the avoidance of do</w:t>
      </w:r>
      <w:r>
        <w:rPr>
          <w:rFonts w:ascii="Arial" w:eastAsia="Arial" w:hAnsi="Arial" w:cs="Arial"/>
        </w:rPr>
        <w:t>ubt these compulsory levied costs may be described as subscriptions, visitor living accommodation and funds, visitors’ consumables per day, entertainments, gratuities, improvements.  Non-compulsory charges described within a Mess Bill as subscriptions – vi</w:t>
      </w:r>
      <w:r>
        <w:rPr>
          <w:rFonts w:ascii="Arial" w:eastAsia="Arial" w:hAnsi="Arial" w:cs="Arial"/>
        </w:rPr>
        <w:t>sitor services and/or wi-fi are not valid Expenses and are not eligible to be reimbursed;</w:t>
      </w:r>
    </w:p>
    <w:p w:rsidR="00857519" w:rsidRDefault="00063E28">
      <w:pPr>
        <w:spacing w:line="240" w:lineRule="auto"/>
        <w:ind w:left="720"/>
        <w:rPr>
          <w:rFonts w:ascii="Arial" w:eastAsia="Arial" w:hAnsi="Arial" w:cs="Arial"/>
        </w:rPr>
      </w:pPr>
      <w:r>
        <w:rPr>
          <w:rFonts w:ascii="Arial" w:eastAsia="Arial" w:hAnsi="Arial" w:cs="Arial"/>
        </w:rPr>
        <w:t>3.4.1.4 any personal costs incurred by a Temporary Healthcare Worker such as the costs of alcohol, laundry and other miscellaneous costs shall not be reimbursed by th</w:t>
      </w:r>
      <w:r>
        <w:rPr>
          <w:rFonts w:ascii="Arial" w:eastAsia="Arial" w:hAnsi="Arial" w:cs="Arial"/>
        </w:rPr>
        <w:t>e Contracting Authority;</w:t>
      </w:r>
    </w:p>
    <w:p w:rsidR="00857519" w:rsidRDefault="00063E28">
      <w:pPr>
        <w:spacing w:line="240" w:lineRule="auto"/>
        <w:ind w:left="720"/>
        <w:rPr>
          <w:rFonts w:ascii="Arial" w:eastAsia="Arial" w:hAnsi="Arial" w:cs="Arial"/>
        </w:rPr>
      </w:pPr>
      <w:r>
        <w:rPr>
          <w:rFonts w:ascii="Arial" w:eastAsia="Arial" w:hAnsi="Arial" w:cs="Arial"/>
        </w:rPr>
        <w:t>3.4.1.5 should suitable Service Accommodation be offered and refused by the Temporary Healthcare Worker, the Temporary Healthcare Worker shall organise their own accommodation and the Contracting Authority shall not be liable for a</w:t>
      </w:r>
      <w:r>
        <w:rPr>
          <w:rFonts w:ascii="Arial" w:eastAsia="Arial" w:hAnsi="Arial" w:cs="Arial"/>
        </w:rPr>
        <w:t>ny costs relating to such accommodation; and</w:t>
      </w:r>
    </w:p>
    <w:p w:rsidR="00857519" w:rsidRDefault="00063E28">
      <w:pPr>
        <w:spacing w:line="240" w:lineRule="auto"/>
        <w:ind w:left="720"/>
        <w:rPr>
          <w:rFonts w:ascii="Arial" w:eastAsia="Arial" w:hAnsi="Arial" w:cs="Arial"/>
        </w:rPr>
      </w:pPr>
      <w:r>
        <w:rPr>
          <w:rFonts w:ascii="Arial" w:eastAsia="Arial" w:hAnsi="Arial" w:cs="Arial"/>
        </w:rPr>
        <w:t>3.4.1.6 where the Contracting Authority confirms that Service Accommodation is not available the Supplier shall arrange accommodation for the Temporary Healthcare Worker and the Contracting Authority shall reimb</w:t>
      </w:r>
      <w:r>
        <w:rPr>
          <w:rFonts w:ascii="Arial" w:eastAsia="Arial" w:hAnsi="Arial" w:cs="Arial"/>
        </w:rPr>
        <w:t>urse the Supplier for such accommodation costs up to a maximum of the Pre-Approved Accommodation Limit for approved accommodation inclusive of all related expenses until Service Accommodation becomes available.</w:t>
      </w:r>
    </w:p>
    <w:p w:rsidR="00857519" w:rsidRDefault="00063E28">
      <w:pPr>
        <w:spacing w:line="240" w:lineRule="auto"/>
        <w:rPr>
          <w:rFonts w:ascii="Arial" w:eastAsia="Arial" w:hAnsi="Arial" w:cs="Arial"/>
        </w:rPr>
      </w:pPr>
      <w:r>
        <w:rPr>
          <w:rFonts w:ascii="Arial" w:eastAsia="Arial" w:hAnsi="Arial" w:cs="Arial"/>
        </w:rPr>
        <w:t>3.5 Subsistence in a Non-GB-Mainland Placemen</w:t>
      </w:r>
      <w:r>
        <w:rPr>
          <w:rFonts w:ascii="Arial" w:eastAsia="Arial" w:hAnsi="Arial" w:cs="Arial"/>
        </w:rPr>
        <w:t>t Location</w:t>
      </w:r>
    </w:p>
    <w:p w:rsidR="00857519" w:rsidRDefault="00063E28">
      <w:pPr>
        <w:spacing w:line="240" w:lineRule="auto"/>
        <w:rPr>
          <w:rFonts w:ascii="Arial" w:eastAsia="Arial" w:hAnsi="Arial" w:cs="Arial"/>
        </w:rPr>
      </w:pPr>
      <w:r>
        <w:rPr>
          <w:rFonts w:ascii="Arial" w:eastAsia="Arial" w:hAnsi="Arial" w:cs="Arial"/>
        </w:rPr>
        <w:t>3.5.1 Save for the circumstances set out in paragraph 3.5.2 below, a Temporary Healthcare Worker accommodated within Service Accommodation shall only be eligible to reclaim Expenses incurred within the Service Accommodation and the Contracting A</w:t>
      </w:r>
      <w:r>
        <w:rPr>
          <w:rFonts w:ascii="Arial" w:eastAsia="Arial" w:hAnsi="Arial" w:cs="Arial"/>
        </w:rPr>
        <w:t>uthority will not reimburse subsistence costs incurred elsewhere.  For the avoidance of doubt, when a Temporary Healthcare Worker is accommodated within Service Accommodation there is an expectation that all meals will be taken within the Service Accommoda</w:t>
      </w:r>
      <w:r>
        <w:rPr>
          <w:rFonts w:ascii="Arial" w:eastAsia="Arial" w:hAnsi="Arial" w:cs="Arial"/>
        </w:rPr>
        <w:t>tion. The provisions in relation to subsistence in GB-Mainland Locations as set out in paragraphs 2.8.1 to 2.8.4 above shall apply.</w:t>
      </w:r>
    </w:p>
    <w:p w:rsidR="00857519" w:rsidRDefault="00063E28">
      <w:pPr>
        <w:spacing w:line="240" w:lineRule="auto"/>
        <w:rPr>
          <w:rFonts w:ascii="Arial" w:eastAsia="Arial" w:hAnsi="Arial" w:cs="Arial"/>
        </w:rPr>
      </w:pPr>
      <w:r>
        <w:rPr>
          <w:rFonts w:ascii="Arial" w:eastAsia="Arial" w:hAnsi="Arial" w:cs="Arial"/>
        </w:rPr>
        <w:lastRenderedPageBreak/>
        <w:t>3.5.2 Only in the circumstance when a Temporary Healthcare Worker undertaking Business Travel is unable to attend the Servic</w:t>
      </w:r>
      <w:r>
        <w:rPr>
          <w:rFonts w:ascii="Arial" w:eastAsia="Arial" w:hAnsi="Arial" w:cs="Arial"/>
        </w:rPr>
        <w:t>e Accommodation for the purposes of purchasing meals and/or refreshments as a result of being on-call, will the Temporary Healthcare Worker be eligible for reimbursement of subsistence costs at locations other than the Service Accommodation.  For the avoid</w:t>
      </w:r>
      <w:r>
        <w:rPr>
          <w:rFonts w:ascii="Arial" w:eastAsia="Arial" w:hAnsi="Arial" w:cs="Arial"/>
        </w:rPr>
        <w:t>ance of doubt such scenarios are likely only to be appropriate to paramedics;</w:t>
      </w:r>
    </w:p>
    <w:p w:rsidR="00857519" w:rsidRDefault="00063E28">
      <w:pPr>
        <w:spacing w:line="240" w:lineRule="auto"/>
        <w:rPr>
          <w:rFonts w:ascii="Arial" w:eastAsia="Arial" w:hAnsi="Arial" w:cs="Arial"/>
        </w:rPr>
      </w:pPr>
      <w:r>
        <w:rPr>
          <w:rFonts w:ascii="Arial" w:eastAsia="Arial" w:hAnsi="Arial" w:cs="Arial"/>
        </w:rPr>
        <w:t>3.5.3.   Where a Temporary Healthcare Worker incurs subsistence costs the Supplier shall be entitled to claim and the Contracting Authority shall pay to the Supplier an amount eq</w:t>
      </w:r>
      <w:r>
        <w:rPr>
          <w:rFonts w:ascii="Arial" w:eastAsia="Arial" w:hAnsi="Arial" w:cs="Arial"/>
        </w:rPr>
        <w:t>ual to the actual amount spent by the Temporary Healthcare Worker, subject to provision of original receipts evidencing the actual expenditure incurred, and further subject to the Subsistence Cap as set out in paragraph 2.8.1.   The Contracting Authority s</w:t>
      </w:r>
      <w:r>
        <w:rPr>
          <w:rFonts w:ascii="Arial" w:eastAsia="Arial" w:hAnsi="Arial" w:cs="Arial"/>
        </w:rPr>
        <w:t>hall not be liable for an amount spent by the Temporary Healthcare Worker or Supplier on subsistence costs in excess of the Subsistence Cap.</w:t>
      </w:r>
    </w:p>
    <w:p w:rsidR="00857519" w:rsidRDefault="00063E28">
      <w:pPr>
        <w:spacing w:line="240" w:lineRule="auto"/>
        <w:rPr>
          <w:rFonts w:ascii="Arial" w:eastAsia="Arial" w:hAnsi="Arial" w:cs="Arial"/>
        </w:rPr>
      </w:pPr>
      <w:r>
        <w:rPr>
          <w:rFonts w:ascii="Arial" w:eastAsia="Arial" w:hAnsi="Arial" w:cs="Arial"/>
        </w:rPr>
        <w:t xml:space="preserve">3.5.4 Any personal costs incurred by a Temporary Healthcare Worker such as the costs of alcohol, laundry and other </w:t>
      </w:r>
      <w:r>
        <w:rPr>
          <w:rFonts w:ascii="Arial" w:eastAsia="Arial" w:hAnsi="Arial" w:cs="Arial"/>
        </w:rPr>
        <w:t>miscellaneous costs shall not be reimbursed by the Contracting Authority.</w:t>
      </w:r>
    </w:p>
    <w:p w:rsidR="00857519" w:rsidRDefault="00857519"/>
    <w:p w:rsidR="00857519" w:rsidRDefault="00857519"/>
    <w:p w:rsidR="00857519" w:rsidRDefault="00857519"/>
    <w:p w:rsidR="00857519" w:rsidRDefault="00857519">
      <w:pPr>
        <w:spacing w:line="240" w:lineRule="auto"/>
        <w:rPr>
          <w:rFonts w:ascii="Arial" w:eastAsia="Arial" w:hAnsi="Arial" w:cs="Arial"/>
        </w:rPr>
      </w:pPr>
    </w:p>
    <w:p w:rsidR="00857519" w:rsidRDefault="00857519">
      <w:pPr>
        <w:spacing w:line="240" w:lineRule="auto"/>
        <w:rPr>
          <w:rFonts w:ascii="Arial" w:eastAsia="Arial" w:hAnsi="Arial" w:cs="Arial"/>
        </w:rPr>
      </w:pPr>
    </w:p>
    <w:p w:rsidR="00857519" w:rsidRDefault="00857519">
      <w:pPr>
        <w:spacing w:line="240" w:lineRule="auto"/>
        <w:rPr>
          <w:rFonts w:ascii="Arial" w:eastAsia="Arial" w:hAnsi="Arial" w:cs="Arial"/>
        </w:rPr>
      </w:pPr>
    </w:p>
    <w:p w:rsidR="00857519" w:rsidRDefault="00857519">
      <w:pPr>
        <w:spacing w:line="240" w:lineRule="auto"/>
        <w:rPr>
          <w:rFonts w:ascii="Arial" w:eastAsia="Arial" w:hAnsi="Arial" w:cs="Arial"/>
        </w:rPr>
      </w:pPr>
    </w:p>
    <w:p w:rsidR="00857519" w:rsidRDefault="00857519">
      <w:pPr>
        <w:spacing w:line="240" w:lineRule="auto"/>
        <w:rPr>
          <w:rFonts w:ascii="Arial" w:eastAsia="Arial" w:hAnsi="Arial" w:cs="Arial"/>
        </w:rPr>
      </w:pPr>
    </w:p>
    <w:p w:rsidR="00857519" w:rsidRDefault="00857519">
      <w:pPr>
        <w:spacing w:line="240" w:lineRule="auto"/>
        <w:rPr>
          <w:rFonts w:ascii="Arial" w:eastAsia="Arial" w:hAnsi="Arial" w:cs="Arial"/>
        </w:rPr>
      </w:pPr>
    </w:p>
    <w:p w:rsidR="00857519" w:rsidRDefault="00857519">
      <w:pPr>
        <w:spacing w:line="240" w:lineRule="auto"/>
        <w:rPr>
          <w:rFonts w:ascii="Arial" w:eastAsia="Arial" w:hAnsi="Arial" w:cs="Arial"/>
        </w:rPr>
      </w:pPr>
    </w:p>
    <w:p w:rsidR="00857519" w:rsidRDefault="00857519">
      <w:pPr>
        <w:spacing w:line="240" w:lineRule="auto"/>
        <w:rPr>
          <w:rFonts w:ascii="Arial" w:eastAsia="Arial" w:hAnsi="Arial" w:cs="Arial"/>
        </w:rPr>
      </w:pPr>
    </w:p>
    <w:p w:rsidR="00857519" w:rsidRDefault="00857519">
      <w:pPr>
        <w:spacing w:line="240" w:lineRule="auto"/>
        <w:rPr>
          <w:rFonts w:ascii="Arial" w:eastAsia="Arial" w:hAnsi="Arial" w:cs="Arial"/>
        </w:rPr>
      </w:pPr>
    </w:p>
    <w:p w:rsidR="00857519" w:rsidRDefault="00857519">
      <w:pPr>
        <w:spacing w:line="240" w:lineRule="auto"/>
        <w:rPr>
          <w:rFonts w:ascii="Arial" w:eastAsia="Arial" w:hAnsi="Arial" w:cs="Arial"/>
        </w:rPr>
      </w:pPr>
    </w:p>
    <w:p w:rsidR="00857519" w:rsidRDefault="00857519">
      <w:pPr>
        <w:spacing w:line="240" w:lineRule="auto"/>
        <w:rPr>
          <w:rFonts w:ascii="Arial" w:eastAsia="Arial" w:hAnsi="Arial" w:cs="Arial"/>
        </w:rPr>
      </w:pPr>
    </w:p>
    <w:p w:rsidR="00857519" w:rsidRDefault="00857519">
      <w:pPr>
        <w:spacing w:line="240" w:lineRule="auto"/>
        <w:rPr>
          <w:rFonts w:ascii="Arial" w:eastAsia="Arial" w:hAnsi="Arial" w:cs="Arial"/>
        </w:rPr>
      </w:pPr>
    </w:p>
    <w:p w:rsidR="00857519" w:rsidRDefault="00857519">
      <w:pPr>
        <w:spacing w:line="240" w:lineRule="auto"/>
        <w:rPr>
          <w:rFonts w:ascii="Arial" w:eastAsia="Arial" w:hAnsi="Arial" w:cs="Arial"/>
        </w:rPr>
      </w:pPr>
    </w:p>
    <w:p w:rsidR="00857519" w:rsidRDefault="00857519">
      <w:pPr>
        <w:spacing w:line="240" w:lineRule="auto"/>
        <w:rPr>
          <w:rFonts w:ascii="Arial" w:eastAsia="Arial" w:hAnsi="Arial" w:cs="Arial"/>
        </w:rPr>
      </w:pPr>
    </w:p>
    <w:p w:rsidR="00857519" w:rsidRDefault="00857519">
      <w:pPr>
        <w:spacing w:line="240" w:lineRule="auto"/>
        <w:rPr>
          <w:rFonts w:ascii="Arial" w:eastAsia="Arial" w:hAnsi="Arial" w:cs="Arial"/>
        </w:rPr>
      </w:pPr>
    </w:p>
    <w:p w:rsidR="00857519" w:rsidRDefault="00857519">
      <w:pPr>
        <w:spacing w:line="240" w:lineRule="auto"/>
        <w:rPr>
          <w:rFonts w:ascii="Arial" w:eastAsia="Arial" w:hAnsi="Arial" w:cs="Arial"/>
        </w:rPr>
      </w:pPr>
    </w:p>
    <w:p w:rsidR="00857519" w:rsidRDefault="00063E28">
      <w:pPr>
        <w:spacing w:line="240" w:lineRule="auto"/>
        <w:rPr>
          <w:rFonts w:ascii="Arial" w:eastAsia="Arial" w:hAnsi="Arial" w:cs="Arial"/>
          <w:b/>
        </w:rPr>
      </w:pPr>
      <w:r>
        <w:rPr>
          <w:rFonts w:ascii="Arial" w:eastAsia="Arial" w:hAnsi="Arial" w:cs="Arial"/>
          <w:b/>
        </w:rPr>
        <w:lastRenderedPageBreak/>
        <w:t xml:space="preserve">Annex D: </w:t>
      </w:r>
    </w:p>
    <w:p w:rsidR="00857519" w:rsidRDefault="00063E28">
      <w:pPr>
        <w:spacing w:line="240" w:lineRule="auto"/>
        <w:rPr>
          <w:rFonts w:ascii="Arial" w:eastAsia="Arial" w:hAnsi="Arial" w:cs="Arial"/>
        </w:rPr>
      </w:pPr>
      <w:r>
        <w:rPr>
          <w:rFonts w:ascii="Arial" w:eastAsia="Arial" w:hAnsi="Arial" w:cs="Arial"/>
        </w:rPr>
        <w:t xml:space="preserve">1. Payment and Invoicing </w:t>
      </w:r>
    </w:p>
    <w:p w:rsidR="00857519" w:rsidRDefault="00063E28">
      <w:pPr>
        <w:spacing w:line="240" w:lineRule="auto"/>
        <w:rPr>
          <w:rFonts w:ascii="Arial" w:eastAsia="Arial" w:hAnsi="Arial" w:cs="Arial"/>
        </w:rPr>
      </w:pPr>
      <w:bookmarkStart w:id="2" w:name="_heading=h.30j0zll" w:colFirst="0" w:colLast="0"/>
      <w:bookmarkEnd w:id="2"/>
      <w:r>
        <w:rPr>
          <w:rFonts w:ascii="Arial" w:eastAsia="Arial" w:hAnsi="Arial" w:cs="Arial"/>
        </w:rPr>
        <w:t>1.1 Payment for the Services will be made using Contracting, Purchasing and Finance (CP&amp;F) and Exostar tools.  Payment will be made by electronic transfer and, prior to submitting any claims for payment, the Supplier shall provide to the Contracting Author</w:t>
      </w:r>
      <w:r>
        <w:rPr>
          <w:rFonts w:ascii="Arial" w:eastAsia="Arial" w:hAnsi="Arial" w:cs="Arial"/>
        </w:rPr>
        <w:t xml:space="preserve">ity the name and address of the bank, sort code and account number to which all payments should be made and, if requested by the Contracting Authority, any further information where payment is to be made outside of the UK. </w:t>
      </w:r>
    </w:p>
    <w:p w:rsidR="00857519" w:rsidRDefault="00063E28">
      <w:pPr>
        <w:spacing w:line="240" w:lineRule="auto"/>
        <w:rPr>
          <w:rFonts w:ascii="Arial" w:eastAsia="Arial" w:hAnsi="Arial" w:cs="Arial"/>
        </w:rPr>
      </w:pPr>
      <w:r>
        <w:rPr>
          <w:rFonts w:ascii="Arial" w:eastAsia="Arial" w:hAnsi="Arial" w:cs="Arial"/>
        </w:rPr>
        <w:t>1.2 Within ten (10) Working Days</w:t>
      </w:r>
      <w:r>
        <w:rPr>
          <w:rFonts w:ascii="Arial" w:eastAsia="Arial" w:hAnsi="Arial" w:cs="Arial"/>
        </w:rPr>
        <w:t xml:space="preserve"> of the end of a Reporting Period, the Supplier shall submit, by email to the email address advised during the Mobilisation Period, the following individual Invoice Submission Requests:</w:t>
      </w:r>
    </w:p>
    <w:p w:rsidR="00857519" w:rsidRDefault="00063E28">
      <w:pPr>
        <w:spacing w:line="240" w:lineRule="auto"/>
        <w:ind w:firstLine="720"/>
        <w:rPr>
          <w:rFonts w:ascii="Arial" w:eastAsia="Arial" w:hAnsi="Arial" w:cs="Arial"/>
        </w:rPr>
      </w:pPr>
      <w:r>
        <w:rPr>
          <w:rFonts w:ascii="Arial" w:eastAsia="Arial" w:hAnsi="Arial" w:cs="Arial"/>
        </w:rPr>
        <w:t>1.2.1 Hourly Transaction Fee Invoice Submission Request – Doctors;</w:t>
      </w:r>
    </w:p>
    <w:p w:rsidR="00857519" w:rsidRDefault="00063E28">
      <w:pPr>
        <w:spacing w:line="240" w:lineRule="auto"/>
        <w:ind w:firstLine="720"/>
        <w:rPr>
          <w:rFonts w:ascii="Arial" w:eastAsia="Arial" w:hAnsi="Arial" w:cs="Arial"/>
        </w:rPr>
      </w:pPr>
      <w:r>
        <w:rPr>
          <w:rFonts w:ascii="Arial" w:eastAsia="Arial" w:hAnsi="Arial" w:cs="Arial"/>
        </w:rPr>
        <w:t>1.2</w:t>
      </w:r>
      <w:r>
        <w:rPr>
          <w:rFonts w:ascii="Arial" w:eastAsia="Arial" w:hAnsi="Arial" w:cs="Arial"/>
        </w:rPr>
        <w:t>.2 Hourly Transaction Fee Invoice Submission Request – Nurses</w:t>
      </w:r>
    </w:p>
    <w:p w:rsidR="00857519" w:rsidRDefault="00063E28">
      <w:pPr>
        <w:spacing w:line="240" w:lineRule="auto"/>
        <w:ind w:firstLine="720"/>
        <w:rPr>
          <w:rFonts w:ascii="Arial" w:eastAsia="Arial" w:hAnsi="Arial" w:cs="Arial"/>
        </w:rPr>
      </w:pPr>
      <w:r>
        <w:rPr>
          <w:rFonts w:ascii="Arial" w:eastAsia="Arial" w:hAnsi="Arial" w:cs="Arial"/>
        </w:rPr>
        <w:t>1.2.3 Hourly Transaction Fee Invoice Submission Request – AHPs;</w:t>
      </w:r>
    </w:p>
    <w:p w:rsidR="00857519" w:rsidRDefault="00063E28">
      <w:pPr>
        <w:spacing w:line="240" w:lineRule="auto"/>
        <w:ind w:firstLine="720"/>
        <w:rPr>
          <w:rFonts w:ascii="Arial" w:eastAsia="Arial" w:hAnsi="Arial" w:cs="Arial"/>
        </w:rPr>
      </w:pPr>
      <w:r>
        <w:rPr>
          <w:rFonts w:ascii="Arial" w:eastAsia="Arial" w:hAnsi="Arial" w:cs="Arial"/>
        </w:rPr>
        <w:t>1.2.4 Expenses Invoice Submission Request;</w:t>
      </w:r>
    </w:p>
    <w:p w:rsidR="00857519" w:rsidRDefault="00063E28">
      <w:pPr>
        <w:spacing w:line="240" w:lineRule="auto"/>
        <w:rPr>
          <w:rFonts w:ascii="Arial" w:eastAsia="Arial" w:hAnsi="Arial" w:cs="Arial"/>
        </w:rPr>
      </w:pPr>
      <w:r>
        <w:rPr>
          <w:rFonts w:ascii="Arial" w:eastAsia="Arial" w:hAnsi="Arial" w:cs="Arial"/>
        </w:rPr>
        <w:t>2. Invoice Submission Requests.</w:t>
      </w:r>
    </w:p>
    <w:p w:rsidR="00857519" w:rsidRDefault="00063E28">
      <w:pPr>
        <w:spacing w:line="240" w:lineRule="auto"/>
        <w:rPr>
          <w:rFonts w:ascii="Arial" w:eastAsia="Arial" w:hAnsi="Arial" w:cs="Arial"/>
        </w:rPr>
      </w:pPr>
      <w:r>
        <w:rPr>
          <w:rFonts w:ascii="Arial" w:eastAsia="Arial" w:hAnsi="Arial" w:cs="Arial"/>
        </w:rPr>
        <w:t>2.1 The Hourly Transaction Fee Invoice Submission Reque</w:t>
      </w:r>
      <w:r>
        <w:rPr>
          <w:rFonts w:ascii="Arial" w:eastAsia="Arial" w:hAnsi="Arial" w:cs="Arial"/>
        </w:rPr>
        <w:t>sts shall be in respect of any sums related to hours worked by a Temporary Healthcare Worker which have been included in any Approved Timesheet Report including a deduction of an amount equal to any Service Credits and Tenure Discounts accrued during the R</w:t>
      </w:r>
      <w:r>
        <w:rPr>
          <w:rFonts w:ascii="Arial" w:eastAsia="Arial" w:hAnsi="Arial" w:cs="Arial"/>
        </w:rPr>
        <w:t>eporting Period to which the Hourly Transactional Fee Invoice Submission Request relates (as calculated by the Supplier) and any adjustment required as a result of a Contracting Authority issued Reconciliation Notice.  For VAT accounting purposes individua</w:t>
      </w:r>
      <w:r>
        <w:rPr>
          <w:rFonts w:ascii="Arial" w:eastAsia="Arial" w:hAnsi="Arial" w:cs="Arial"/>
        </w:rPr>
        <w:t>l Invoice Submission Requests are required in respect of hours worked by Doctors (engaged under a Job Description Unique Identification Reference Number commencing with a D) hours worked by Nurses (engaged under a Job Description Unique Identification Refe</w:t>
      </w:r>
      <w:r>
        <w:rPr>
          <w:rFonts w:ascii="Arial" w:eastAsia="Arial" w:hAnsi="Arial" w:cs="Arial"/>
        </w:rPr>
        <w:t>rence Number commencing with an N) and hours worked by AHPs (engaged under a Job Description Unique Identification Reference Number commencing with an A).</w:t>
      </w:r>
    </w:p>
    <w:p w:rsidR="00857519" w:rsidRDefault="00063E28">
      <w:pPr>
        <w:spacing w:line="240" w:lineRule="auto"/>
        <w:rPr>
          <w:rFonts w:ascii="Arial" w:eastAsia="Arial" w:hAnsi="Arial" w:cs="Arial"/>
        </w:rPr>
      </w:pPr>
      <w:r>
        <w:rPr>
          <w:rFonts w:ascii="Arial" w:eastAsia="Arial" w:hAnsi="Arial" w:cs="Arial"/>
        </w:rPr>
        <w:t>2.2 The Expenses Invoice Submission Requests shall be in respect of any sums related to Expenses incu</w:t>
      </w:r>
      <w:r>
        <w:rPr>
          <w:rFonts w:ascii="Arial" w:eastAsia="Arial" w:hAnsi="Arial" w:cs="Arial"/>
        </w:rPr>
        <w:t xml:space="preserve">rred which have been included in any Approved Expenses Claim Report. Separate Expenses Invoice Submission Requests shall be provided for Doctors, Nurses and Allied Health Professionals. </w:t>
      </w:r>
    </w:p>
    <w:p w:rsidR="00857519" w:rsidRDefault="00063E28">
      <w:pPr>
        <w:spacing w:line="240" w:lineRule="auto"/>
        <w:rPr>
          <w:rFonts w:ascii="Arial" w:eastAsia="Arial" w:hAnsi="Arial" w:cs="Arial"/>
        </w:rPr>
      </w:pPr>
      <w:r>
        <w:rPr>
          <w:rFonts w:ascii="Arial" w:eastAsia="Arial" w:hAnsi="Arial" w:cs="Arial"/>
        </w:rPr>
        <w:t>2.3 Upon receipt of an Invoice Submission Request the Contracting Aut</w:t>
      </w:r>
      <w:r>
        <w:rPr>
          <w:rFonts w:ascii="Arial" w:eastAsia="Arial" w:hAnsi="Arial" w:cs="Arial"/>
        </w:rPr>
        <w:t>hority shall review the amount to ensure that it appears reasonable:</w:t>
      </w:r>
    </w:p>
    <w:p w:rsidR="00857519" w:rsidRDefault="00063E28">
      <w:pPr>
        <w:spacing w:line="240" w:lineRule="auto"/>
        <w:rPr>
          <w:rFonts w:ascii="Arial" w:eastAsia="Arial" w:hAnsi="Arial" w:cs="Arial"/>
        </w:rPr>
      </w:pPr>
      <w:r>
        <w:rPr>
          <w:rFonts w:ascii="Arial" w:eastAsia="Arial" w:hAnsi="Arial" w:cs="Arial"/>
        </w:rPr>
        <w:t xml:space="preserve">2.3.1 If the Contracting Authority is content that the Invoice Submission Request appears reasonable (notwithstanding that a full Reconciliation of the invoice amount shall take place in </w:t>
      </w:r>
      <w:r>
        <w:rPr>
          <w:rFonts w:ascii="Arial" w:eastAsia="Arial" w:hAnsi="Arial" w:cs="Arial"/>
        </w:rPr>
        <w:t>accordance with paragraph 2.6 of this Annex D to Call-Off Schedule 5 – Pricing Details it will, within five (5) Working Days, approve the submission of an invoice, in the exact same sum of the Invoice Submission Request, to Exostar.</w:t>
      </w:r>
    </w:p>
    <w:p w:rsidR="00857519" w:rsidRDefault="00063E28">
      <w:pPr>
        <w:spacing w:line="240" w:lineRule="auto"/>
        <w:rPr>
          <w:rFonts w:ascii="Arial" w:eastAsia="Arial" w:hAnsi="Arial" w:cs="Arial"/>
        </w:rPr>
      </w:pPr>
      <w:r>
        <w:rPr>
          <w:rFonts w:ascii="Arial" w:eastAsia="Arial" w:hAnsi="Arial" w:cs="Arial"/>
        </w:rPr>
        <w:t>2.3.2 If the Contracting Authority is not content that the Invoice Submission Request appears reasonable:</w:t>
      </w:r>
    </w:p>
    <w:p w:rsidR="00857519" w:rsidRDefault="00063E28">
      <w:pPr>
        <w:spacing w:line="240" w:lineRule="auto"/>
        <w:ind w:left="720"/>
        <w:rPr>
          <w:rFonts w:ascii="Arial" w:eastAsia="Arial" w:hAnsi="Arial" w:cs="Arial"/>
        </w:rPr>
      </w:pPr>
      <w:r>
        <w:rPr>
          <w:rFonts w:ascii="Arial" w:eastAsia="Arial" w:hAnsi="Arial" w:cs="Arial"/>
        </w:rPr>
        <w:lastRenderedPageBreak/>
        <w:t xml:space="preserve">2.3.2.1 The Contracting Authority Representative will, within five (5) Working Days of receipt of the Invoice Submission Request, notify the Supplier </w:t>
      </w:r>
      <w:r>
        <w:rPr>
          <w:rFonts w:ascii="Arial" w:eastAsia="Arial" w:hAnsi="Arial" w:cs="Arial"/>
        </w:rPr>
        <w:t xml:space="preserve">Authorised Representative.  </w:t>
      </w:r>
    </w:p>
    <w:p w:rsidR="00857519" w:rsidRDefault="00063E28">
      <w:pPr>
        <w:spacing w:line="240" w:lineRule="auto"/>
        <w:ind w:left="720"/>
        <w:rPr>
          <w:rFonts w:ascii="Arial" w:eastAsia="Arial" w:hAnsi="Arial" w:cs="Arial"/>
        </w:rPr>
      </w:pPr>
      <w:r>
        <w:rPr>
          <w:rFonts w:ascii="Arial" w:eastAsia="Arial" w:hAnsi="Arial" w:cs="Arial"/>
        </w:rPr>
        <w:t>2.3.2.2 The Supplier Authorised Representative and the Contracting Authority Representative shall act in good faith to attempt to satisfy the Contracting Authority as to the reasonableness of the Invoice Submission Request amou</w:t>
      </w:r>
      <w:r>
        <w:rPr>
          <w:rFonts w:ascii="Arial" w:eastAsia="Arial" w:hAnsi="Arial" w:cs="Arial"/>
        </w:rPr>
        <w:t xml:space="preserve">nt.  The Supplier Authorised Representative shall provide the Contracting Authority Representative with such information (as reasonably requested) to justify the amount sought. </w:t>
      </w:r>
    </w:p>
    <w:p w:rsidR="00857519" w:rsidRDefault="00063E28">
      <w:pPr>
        <w:spacing w:line="240" w:lineRule="auto"/>
        <w:ind w:left="720"/>
        <w:rPr>
          <w:rFonts w:ascii="Arial" w:eastAsia="Arial" w:hAnsi="Arial" w:cs="Arial"/>
        </w:rPr>
      </w:pPr>
      <w:r>
        <w:rPr>
          <w:rFonts w:ascii="Arial" w:eastAsia="Arial" w:hAnsi="Arial" w:cs="Arial"/>
        </w:rPr>
        <w:t>2.3.2.3 In the event that the Contracting Authority Representative is content,</w:t>
      </w:r>
      <w:r>
        <w:rPr>
          <w:rFonts w:ascii="Arial" w:eastAsia="Arial" w:hAnsi="Arial" w:cs="Arial"/>
        </w:rPr>
        <w:t xml:space="preserve"> following clarification, that the amount of the Invoice Submission Request is reasonable the Contracting Authority Representative shall approve the submission of an invoice, in the exact same sum of the Invoice Submission Request, to Exostar.</w:t>
      </w:r>
    </w:p>
    <w:p w:rsidR="00857519" w:rsidRDefault="00063E28">
      <w:pPr>
        <w:spacing w:line="240" w:lineRule="auto"/>
        <w:ind w:left="720"/>
        <w:rPr>
          <w:rFonts w:ascii="Arial" w:eastAsia="Arial" w:hAnsi="Arial" w:cs="Arial"/>
        </w:rPr>
      </w:pPr>
      <w:r>
        <w:rPr>
          <w:rFonts w:ascii="Arial" w:eastAsia="Arial" w:hAnsi="Arial" w:cs="Arial"/>
        </w:rPr>
        <w:t>2.3.2.4 In t</w:t>
      </w:r>
      <w:r>
        <w:rPr>
          <w:rFonts w:ascii="Arial" w:eastAsia="Arial" w:hAnsi="Arial" w:cs="Arial"/>
        </w:rPr>
        <w:t>he event that following clarification the Contracting Authority Representative is still not content (acting reasonably) that the Invoice Submission Request appears reasonable the Contracting Authority shall carry out Reconciliation between the Invoice Subm</w:t>
      </w:r>
      <w:r>
        <w:rPr>
          <w:rFonts w:ascii="Arial" w:eastAsia="Arial" w:hAnsi="Arial" w:cs="Arial"/>
        </w:rPr>
        <w:t>ission Request amount and the Invoice Data Reports, Expenses Invoice Data Reports, Service Level Exception Reports, and any other relevant data held in respect of the Services performed and Expenses incurred within ten (10) Working Days. Once the Contracti</w:t>
      </w:r>
      <w:r>
        <w:rPr>
          <w:rFonts w:ascii="Arial" w:eastAsia="Arial" w:hAnsi="Arial" w:cs="Arial"/>
        </w:rPr>
        <w:t>ng Authority has completed the Reconciliation and issued a Reconciliation Notice to the Supplier, the Supplier shall submit an invoice for the amount contained in the Reconciliation Notice to Exostar.  For the avoidance of doubt no payment shall be made un</w:t>
      </w:r>
      <w:r>
        <w:rPr>
          <w:rFonts w:ascii="Arial" w:eastAsia="Arial" w:hAnsi="Arial" w:cs="Arial"/>
        </w:rPr>
        <w:t xml:space="preserve">til such time as the Contracting Authority has Approved the submission of an invoice to Exostar and the invoice has been submitted by the Supplier and Approved for payment by the Contracting Authority. </w:t>
      </w:r>
    </w:p>
    <w:p w:rsidR="00857519" w:rsidRDefault="00063E28">
      <w:pPr>
        <w:spacing w:line="240" w:lineRule="auto"/>
        <w:rPr>
          <w:rFonts w:ascii="Arial" w:eastAsia="Arial" w:hAnsi="Arial" w:cs="Arial"/>
        </w:rPr>
      </w:pPr>
      <w:r>
        <w:rPr>
          <w:rFonts w:ascii="Arial" w:eastAsia="Arial" w:hAnsi="Arial" w:cs="Arial"/>
        </w:rPr>
        <w:t>2.4 Upon notification by the Supplier that an invoice</w:t>
      </w:r>
      <w:r>
        <w:rPr>
          <w:rFonts w:ascii="Arial" w:eastAsia="Arial" w:hAnsi="Arial" w:cs="Arial"/>
        </w:rPr>
        <w:t xml:space="preserve"> has been submitted to Exostar the Contracting Authority will, if it is content that the invoice matches the Invoice Submission Request, within ten (10) Working Days (save where there has been a failure of CP&amp;F following submission of the invoice in which </w:t>
      </w:r>
      <w:r>
        <w:rPr>
          <w:rFonts w:ascii="Arial" w:eastAsia="Arial" w:hAnsi="Arial" w:cs="Arial"/>
        </w:rPr>
        <w:t xml:space="preserve">case payment shall be made within ten (10) Working Days of CP&amp;F going back online) approve the invoice for payment on CP&amp;F and pay the invoice within ten (10) Working Days of receipt. </w:t>
      </w:r>
    </w:p>
    <w:p w:rsidR="00857519" w:rsidRDefault="00063E28">
      <w:pPr>
        <w:spacing w:line="240" w:lineRule="auto"/>
        <w:rPr>
          <w:rFonts w:ascii="Arial" w:eastAsia="Arial" w:hAnsi="Arial" w:cs="Arial"/>
        </w:rPr>
      </w:pPr>
      <w:r>
        <w:rPr>
          <w:rFonts w:ascii="Arial" w:eastAsia="Arial" w:hAnsi="Arial" w:cs="Arial"/>
        </w:rPr>
        <w:t>2.5 In the event that the invoice amount does not exactly match the Inv</w:t>
      </w:r>
      <w:r>
        <w:rPr>
          <w:rFonts w:ascii="Arial" w:eastAsia="Arial" w:hAnsi="Arial" w:cs="Arial"/>
        </w:rPr>
        <w:t xml:space="preserve">oice Submission Request amount the Contracting Authority will, within five (5) Working Days, reject the invoice and notify the Supplier Authorised Representative in order that either a revised invoice can be raised, or a revised Invoice Submission Request </w:t>
      </w:r>
      <w:r>
        <w:rPr>
          <w:rFonts w:ascii="Arial" w:eastAsia="Arial" w:hAnsi="Arial" w:cs="Arial"/>
        </w:rPr>
        <w:t>can be submitted.</w:t>
      </w:r>
    </w:p>
    <w:p w:rsidR="00857519" w:rsidRDefault="00063E28">
      <w:pPr>
        <w:spacing w:line="240" w:lineRule="auto"/>
        <w:rPr>
          <w:rFonts w:ascii="Arial" w:eastAsia="Arial" w:hAnsi="Arial" w:cs="Arial"/>
        </w:rPr>
      </w:pPr>
      <w:r>
        <w:rPr>
          <w:rFonts w:ascii="Arial" w:eastAsia="Arial" w:hAnsi="Arial" w:cs="Arial"/>
        </w:rPr>
        <w:t xml:space="preserve">2.6 The Contracting Authority shall within one (1) calendar month of payment being made to the Supplier in accordance with paragraph 2.4 of this Annex D to Call-Off Schedule 5 – Payment and Invoicing (or, if later, one (1) calendar month </w:t>
      </w:r>
      <w:r>
        <w:rPr>
          <w:rFonts w:ascii="Arial" w:eastAsia="Arial" w:hAnsi="Arial" w:cs="Arial"/>
        </w:rPr>
        <w:t>from the date on which the Contracting Authority receives the relevant monthly reports from the Supplier) conduct a Reconciliation between the invoice and the relevant Invoice Data Reports and other relevant reports and data compiled during the Reporting P</w:t>
      </w:r>
      <w:r>
        <w:rPr>
          <w:rFonts w:ascii="Arial" w:eastAsia="Arial" w:hAnsi="Arial" w:cs="Arial"/>
        </w:rPr>
        <w:t>eriod to which the invoice relates.  This Reconciliation shall include review of the relevant MI Reports (including the Service Level Exception Reports) to verify the calculation and accuracy of any Service Credit and Tenure Discounts accrued during the Re</w:t>
      </w:r>
      <w:r>
        <w:rPr>
          <w:rFonts w:ascii="Arial" w:eastAsia="Arial" w:hAnsi="Arial" w:cs="Arial"/>
        </w:rPr>
        <w:t xml:space="preserve">porting Period. </w:t>
      </w:r>
    </w:p>
    <w:p w:rsidR="00857519" w:rsidRDefault="00063E28">
      <w:pPr>
        <w:spacing w:line="240" w:lineRule="auto"/>
        <w:rPr>
          <w:rFonts w:ascii="Arial" w:eastAsia="Arial" w:hAnsi="Arial" w:cs="Arial"/>
        </w:rPr>
      </w:pPr>
      <w:r>
        <w:rPr>
          <w:rFonts w:ascii="Arial" w:eastAsia="Arial" w:hAnsi="Arial" w:cs="Arial"/>
        </w:rPr>
        <w:t>2.7 The Contracting Authority shall notify the Supplier of the results of the Reconciliation including any discrepancies between the invoice and the relevant Invoice Data Report, Approved Timesheet Report, Approved Expenses Claim Report, Service Level Exce</w:t>
      </w:r>
      <w:r>
        <w:rPr>
          <w:rFonts w:ascii="Arial" w:eastAsia="Arial" w:hAnsi="Arial" w:cs="Arial"/>
        </w:rPr>
        <w:t xml:space="preserve">ption Reports and the Suppliers Service Credit calculation with five (5) Working Days of such Reconciliation taking place (a ‘Reconciliation Notice’). </w:t>
      </w:r>
    </w:p>
    <w:p w:rsidR="00857519" w:rsidRDefault="00063E28">
      <w:pPr>
        <w:spacing w:line="240" w:lineRule="auto"/>
        <w:rPr>
          <w:rFonts w:ascii="Arial" w:eastAsia="Arial" w:hAnsi="Arial" w:cs="Arial"/>
        </w:rPr>
      </w:pPr>
      <w:r>
        <w:rPr>
          <w:rFonts w:ascii="Arial" w:eastAsia="Arial" w:hAnsi="Arial" w:cs="Arial"/>
        </w:rPr>
        <w:lastRenderedPageBreak/>
        <w:t xml:space="preserve">2.8 The Supplier shall adjust the next invoice submitted to the Contracting Authority following receipt </w:t>
      </w:r>
      <w:r>
        <w:rPr>
          <w:rFonts w:ascii="Arial" w:eastAsia="Arial" w:hAnsi="Arial" w:cs="Arial"/>
        </w:rPr>
        <w:t>of a Reconciliation Notice to reflect the outcome of the Reconciliation carried out pursuant to paragraph 2.7 of this Annex D to Call-Off Schedule 5 – Payment and Invoicing, as set out in the Reconciliation Notice (including any adjustment in Service Credi</w:t>
      </w:r>
      <w:r>
        <w:rPr>
          <w:rFonts w:ascii="Arial" w:eastAsia="Arial" w:hAnsi="Arial" w:cs="Arial"/>
        </w:rPr>
        <w:t xml:space="preserve">ts and Tenure Discounts). </w:t>
      </w:r>
    </w:p>
    <w:p w:rsidR="00857519" w:rsidRDefault="00063E28">
      <w:pPr>
        <w:spacing w:line="240" w:lineRule="auto"/>
        <w:rPr>
          <w:rFonts w:ascii="Arial" w:eastAsia="Arial" w:hAnsi="Arial" w:cs="Arial"/>
        </w:rPr>
      </w:pPr>
      <w:r>
        <w:rPr>
          <w:rFonts w:ascii="Arial" w:eastAsia="Arial" w:hAnsi="Arial" w:cs="Arial"/>
        </w:rPr>
        <w:t>2.9 In the event that the Supplier fails to adjust the next invoice in accordance with paragraph 2.8 of this Annex D to Call-Off Schedule 5 – Payment and Invoicing, and such adjustment would have resulted in a reduction in the am</w:t>
      </w:r>
      <w:r>
        <w:rPr>
          <w:rFonts w:ascii="Arial" w:eastAsia="Arial" w:hAnsi="Arial" w:cs="Arial"/>
        </w:rPr>
        <w:t xml:space="preserve">ount payable to the Supplier, the Contracting Authority shall have the right to deduct such amount from the sums paid to the Supplier. </w:t>
      </w:r>
    </w:p>
    <w:p w:rsidR="00857519" w:rsidRDefault="00063E28">
      <w:pPr>
        <w:spacing w:line="240" w:lineRule="auto"/>
        <w:rPr>
          <w:rFonts w:ascii="Arial" w:eastAsia="Arial" w:hAnsi="Arial" w:cs="Arial"/>
        </w:rPr>
      </w:pPr>
      <w:r>
        <w:rPr>
          <w:rFonts w:ascii="Arial" w:eastAsia="Arial" w:hAnsi="Arial" w:cs="Arial"/>
        </w:rPr>
        <w:t xml:space="preserve">2.10 In the event that the Supplier disagrees with the Reconciliation Notice the matter shall be resolved in accordance </w:t>
      </w:r>
      <w:r>
        <w:rPr>
          <w:rFonts w:ascii="Arial" w:eastAsia="Arial" w:hAnsi="Arial" w:cs="Arial"/>
        </w:rPr>
        <w:t xml:space="preserve">with the Dispute Resolution Procedure set out in the Framework Specification.  </w:t>
      </w:r>
    </w:p>
    <w:p w:rsidR="00857519" w:rsidRDefault="00857519">
      <w:pPr>
        <w:spacing w:after="200" w:line="276" w:lineRule="auto"/>
        <w:ind w:left="-993"/>
        <w:jc w:val="left"/>
        <w:rPr>
          <w:rFonts w:ascii="Arial" w:eastAsia="Arial" w:hAnsi="Arial" w:cs="Arial"/>
          <w:sz w:val="24"/>
          <w:szCs w:val="24"/>
        </w:rPr>
      </w:pPr>
    </w:p>
    <w:p w:rsidR="00857519" w:rsidRDefault="00857519">
      <w:pPr>
        <w:spacing w:after="200" w:line="276" w:lineRule="auto"/>
        <w:ind w:left="-993"/>
        <w:jc w:val="left"/>
        <w:rPr>
          <w:rFonts w:ascii="Arial" w:eastAsia="Arial" w:hAnsi="Arial" w:cs="Arial"/>
          <w:sz w:val="24"/>
          <w:szCs w:val="24"/>
        </w:rPr>
      </w:pPr>
    </w:p>
    <w:p w:rsidR="00857519" w:rsidRDefault="00857519">
      <w:pPr>
        <w:spacing w:after="200" w:line="276" w:lineRule="auto"/>
        <w:ind w:left="-993"/>
        <w:jc w:val="left"/>
        <w:rPr>
          <w:rFonts w:ascii="Arial" w:eastAsia="Arial" w:hAnsi="Arial" w:cs="Arial"/>
          <w:sz w:val="24"/>
          <w:szCs w:val="24"/>
        </w:rPr>
      </w:pPr>
    </w:p>
    <w:p w:rsidR="00857519" w:rsidRDefault="00857519">
      <w:pPr>
        <w:spacing w:after="200" w:line="276" w:lineRule="auto"/>
        <w:ind w:left="-993"/>
        <w:jc w:val="left"/>
        <w:rPr>
          <w:rFonts w:ascii="Arial" w:eastAsia="Arial" w:hAnsi="Arial" w:cs="Arial"/>
          <w:sz w:val="24"/>
          <w:szCs w:val="24"/>
        </w:rPr>
      </w:pPr>
    </w:p>
    <w:p w:rsidR="00857519" w:rsidRDefault="00857519">
      <w:pPr>
        <w:spacing w:after="200" w:line="276" w:lineRule="auto"/>
        <w:ind w:left="-993"/>
        <w:jc w:val="left"/>
        <w:rPr>
          <w:rFonts w:ascii="Arial" w:eastAsia="Arial" w:hAnsi="Arial" w:cs="Arial"/>
          <w:sz w:val="24"/>
          <w:szCs w:val="24"/>
        </w:rPr>
      </w:pPr>
    </w:p>
    <w:sectPr w:rsidR="00857519">
      <w:pgSz w:w="11909" w:h="16834"/>
      <w:pgMar w:top="1440" w:right="1440" w:bottom="142" w:left="1440" w:header="709" w:footer="709"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63E28" w:rsidRDefault="00063E28">
      <w:pPr>
        <w:spacing w:after="0" w:line="240" w:lineRule="auto"/>
      </w:pPr>
      <w:r>
        <w:separator/>
      </w:r>
    </w:p>
  </w:endnote>
  <w:endnote w:type="continuationSeparator" w:id="0">
    <w:p w:rsidR="00063E28" w:rsidRDefault="00063E2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TZhongsong">
    <w:charset w:val="86"/>
    <w:family w:val="auto"/>
    <w:pitch w:val="variable"/>
    <w:sig w:usb0="00000287" w:usb1="080F0000" w:usb2="00000010" w:usb3="00000000" w:csb0="0004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Roboto">
    <w:altName w:val="Arial"/>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57519" w:rsidRDefault="00857519">
    <w:pPr>
      <w:tabs>
        <w:tab w:val="center" w:pos="4513"/>
        <w:tab w:val="right" w:pos="9026"/>
      </w:tabs>
      <w:spacing w:after="0" w:line="240" w:lineRule="auto"/>
      <w:rPr>
        <w:rFonts w:ascii="Calibri" w:eastAsia="Calibri" w:hAnsi="Calibri" w:cs="Calibr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57519" w:rsidRDefault="00857519">
    <w:pPr>
      <w:pBdr>
        <w:top w:val="nil"/>
        <w:left w:val="nil"/>
        <w:bottom w:val="nil"/>
        <w:right w:val="nil"/>
        <w:between w:val="nil"/>
      </w:pBdr>
      <w:tabs>
        <w:tab w:val="center" w:pos="4153"/>
        <w:tab w:val="right" w:pos="8306"/>
      </w:tabs>
      <w:spacing w:after="0" w:line="240" w:lineRule="auto"/>
      <w:rPr>
        <w:rFonts w:ascii="Arial" w:eastAsia="Arial" w:hAnsi="Arial" w:cs="Arial"/>
        <w:color w:val="000000"/>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63E28" w:rsidRDefault="00063E28">
      <w:pPr>
        <w:spacing w:after="0" w:line="240" w:lineRule="auto"/>
      </w:pPr>
      <w:r>
        <w:separator/>
      </w:r>
    </w:p>
  </w:footnote>
  <w:footnote w:type="continuationSeparator" w:id="0">
    <w:p w:rsidR="00063E28" w:rsidRDefault="00063E2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57519" w:rsidRDefault="00857519">
    <w:pPr>
      <w:pBdr>
        <w:top w:val="nil"/>
        <w:left w:val="nil"/>
        <w:bottom w:val="nil"/>
        <w:right w:val="nil"/>
        <w:between w:val="nil"/>
      </w:pBdr>
      <w:tabs>
        <w:tab w:val="center" w:pos="4153"/>
        <w:tab w:val="right" w:pos="8306"/>
      </w:tabs>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57519" w:rsidRDefault="00063E28">
    <w:pPr>
      <w:pBdr>
        <w:top w:val="nil"/>
        <w:left w:val="nil"/>
        <w:bottom w:val="nil"/>
        <w:right w:val="nil"/>
        <w:between w:val="nil"/>
      </w:pBdr>
      <w:tabs>
        <w:tab w:val="center" w:pos="4153"/>
        <w:tab w:val="right" w:pos="8306"/>
      </w:tabs>
      <w:jc w:val="right"/>
      <w:rPr>
        <w:color w:val="000000"/>
      </w:rPr>
    </w:pPr>
    <w:r>
      <w:rPr>
        <w:rFonts w:ascii="Arial" w:eastAsia="Arial" w:hAnsi="Arial" w:cs="Arial"/>
        <w:color w:val="000000"/>
        <w:sz w:val="20"/>
        <w:szCs w:val="20"/>
        <w:highlight w:val="white"/>
      </w:rPr>
      <w:t xml:space="preserve">Call-Off Ref: 710518450 / </w:t>
    </w:r>
    <w:r>
      <w:rPr>
        <w:rFonts w:ascii="Roboto" w:eastAsia="Roboto" w:hAnsi="Roboto" w:cs="Roboto"/>
        <w:color w:val="181818"/>
        <w:sz w:val="21"/>
        <w:szCs w:val="21"/>
        <w:highlight w:val="white"/>
      </w:rPr>
      <w:t>CCSM23A02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4AD309B"/>
    <w:multiLevelType w:val="multilevel"/>
    <w:tmpl w:val="C1FA4BB4"/>
    <w:lvl w:ilvl="0">
      <w:start w:val="1"/>
      <w:numFmt w:val="decimal"/>
      <w:lvlText w:val="%1."/>
      <w:lvlJc w:val="left"/>
      <w:pPr>
        <w:ind w:left="2628" w:hanging="360"/>
      </w:pPr>
    </w:lvl>
    <w:lvl w:ilvl="1">
      <w:start w:val="1"/>
      <w:numFmt w:val="lowerLetter"/>
      <w:lvlText w:val="%2."/>
      <w:lvlJc w:val="left"/>
      <w:pPr>
        <w:ind w:left="3348" w:hanging="360"/>
      </w:pPr>
    </w:lvl>
    <w:lvl w:ilvl="2">
      <w:start w:val="1"/>
      <w:numFmt w:val="lowerRoman"/>
      <w:lvlText w:val="%3."/>
      <w:lvlJc w:val="right"/>
      <w:pPr>
        <w:ind w:left="4068" w:hanging="180"/>
      </w:pPr>
    </w:lvl>
    <w:lvl w:ilvl="3">
      <w:start w:val="1"/>
      <w:numFmt w:val="decimal"/>
      <w:lvlText w:val="%4."/>
      <w:lvlJc w:val="left"/>
      <w:pPr>
        <w:ind w:left="4788" w:hanging="360"/>
      </w:pPr>
    </w:lvl>
    <w:lvl w:ilvl="4">
      <w:start w:val="1"/>
      <w:numFmt w:val="lowerLetter"/>
      <w:lvlText w:val="%5."/>
      <w:lvlJc w:val="left"/>
      <w:pPr>
        <w:ind w:left="5508" w:hanging="360"/>
      </w:pPr>
    </w:lvl>
    <w:lvl w:ilvl="5">
      <w:start w:val="1"/>
      <w:numFmt w:val="lowerRoman"/>
      <w:lvlText w:val="%6."/>
      <w:lvlJc w:val="right"/>
      <w:pPr>
        <w:ind w:left="6228" w:hanging="180"/>
      </w:pPr>
    </w:lvl>
    <w:lvl w:ilvl="6">
      <w:start w:val="1"/>
      <w:numFmt w:val="decimal"/>
      <w:lvlText w:val="%7."/>
      <w:lvlJc w:val="left"/>
      <w:pPr>
        <w:ind w:left="6948" w:hanging="360"/>
      </w:pPr>
    </w:lvl>
    <w:lvl w:ilvl="7">
      <w:start w:val="1"/>
      <w:numFmt w:val="lowerLetter"/>
      <w:lvlText w:val="%8."/>
      <w:lvlJc w:val="left"/>
      <w:pPr>
        <w:ind w:left="7668" w:hanging="360"/>
      </w:pPr>
    </w:lvl>
    <w:lvl w:ilvl="8">
      <w:start w:val="1"/>
      <w:numFmt w:val="lowerRoman"/>
      <w:lvlText w:val="%9."/>
      <w:lvlJc w:val="right"/>
      <w:pPr>
        <w:ind w:left="8388" w:hanging="180"/>
      </w:pPr>
    </w:lvl>
  </w:abstractNum>
  <w:abstractNum w:abstractNumId="1" w15:restartNumberingAfterBreak="0">
    <w:nsid w:val="57FB7F91"/>
    <w:multiLevelType w:val="multilevel"/>
    <w:tmpl w:val="703AB8F0"/>
    <w:lvl w:ilvl="0">
      <w:start w:val="1"/>
      <w:numFmt w:val="decimal"/>
      <w:pStyle w:val="Heading1"/>
      <w:lvlText w:val="%1."/>
      <w:lvlJc w:val="left"/>
      <w:pPr>
        <w:tabs>
          <w:tab w:val="num" w:pos="720"/>
        </w:tabs>
        <w:ind w:left="720" w:hanging="720"/>
      </w:pPr>
    </w:lvl>
    <w:lvl w:ilvl="1">
      <w:start w:val="1"/>
      <w:numFmt w:val="decimal"/>
      <w:pStyle w:val="Heading2"/>
      <w:lvlText w:val="%2."/>
      <w:lvlJc w:val="left"/>
      <w:pPr>
        <w:tabs>
          <w:tab w:val="num" w:pos="1440"/>
        </w:tabs>
        <w:ind w:left="1440" w:hanging="720"/>
      </w:pPr>
    </w:lvl>
    <w:lvl w:ilvl="2">
      <w:start w:val="1"/>
      <w:numFmt w:val="decimal"/>
      <w:pStyle w:val="Heading3"/>
      <w:lvlText w:val="%3."/>
      <w:lvlJc w:val="left"/>
      <w:pPr>
        <w:tabs>
          <w:tab w:val="num" w:pos="2160"/>
        </w:tabs>
        <w:ind w:left="2160" w:hanging="720"/>
      </w:pPr>
    </w:lvl>
    <w:lvl w:ilvl="3">
      <w:start w:val="1"/>
      <w:numFmt w:val="decimal"/>
      <w:pStyle w:val="Heading4"/>
      <w:lvlText w:val="%4."/>
      <w:lvlJc w:val="left"/>
      <w:pPr>
        <w:tabs>
          <w:tab w:val="num" w:pos="2880"/>
        </w:tabs>
        <w:ind w:left="2880" w:hanging="720"/>
      </w:pPr>
    </w:lvl>
    <w:lvl w:ilvl="4">
      <w:start w:val="1"/>
      <w:numFmt w:val="decimal"/>
      <w:pStyle w:val="Heading5"/>
      <w:lvlText w:val="%5."/>
      <w:lvlJc w:val="left"/>
      <w:pPr>
        <w:tabs>
          <w:tab w:val="num" w:pos="3600"/>
        </w:tabs>
        <w:ind w:left="3600" w:hanging="720"/>
      </w:pPr>
    </w:lvl>
    <w:lvl w:ilvl="5">
      <w:start w:val="1"/>
      <w:numFmt w:val="decimal"/>
      <w:pStyle w:val="Heading6"/>
      <w:lvlText w:val="%6."/>
      <w:lvlJc w:val="left"/>
      <w:pPr>
        <w:tabs>
          <w:tab w:val="num" w:pos="4320"/>
        </w:tabs>
        <w:ind w:left="4320" w:hanging="720"/>
      </w:pPr>
    </w:lvl>
    <w:lvl w:ilvl="6">
      <w:start w:val="1"/>
      <w:numFmt w:val="decimal"/>
      <w:pStyle w:val="Heading7"/>
      <w:lvlText w:val="%7."/>
      <w:lvlJc w:val="left"/>
      <w:pPr>
        <w:tabs>
          <w:tab w:val="num" w:pos="5040"/>
        </w:tabs>
        <w:ind w:left="5040" w:hanging="720"/>
      </w:pPr>
    </w:lvl>
    <w:lvl w:ilvl="7">
      <w:start w:val="1"/>
      <w:numFmt w:val="decimal"/>
      <w:pStyle w:val="Heading8"/>
      <w:lvlText w:val="%8."/>
      <w:lvlJc w:val="left"/>
      <w:pPr>
        <w:tabs>
          <w:tab w:val="num" w:pos="5760"/>
        </w:tabs>
        <w:ind w:left="5760" w:hanging="720"/>
      </w:pPr>
    </w:lvl>
    <w:lvl w:ilvl="8">
      <w:start w:val="1"/>
      <w:numFmt w:val="decimal"/>
      <w:pStyle w:val="Heading9"/>
      <w:lvlText w:val="%9."/>
      <w:lvlJc w:val="left"/>
      <w:pPr>
        <w:tabs>
          <w:tab w:val="num" w:pos="6480"/>
        </w:tabs>
        <w:ind w:left="6480" w:hanging="7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57519"/>
    <w:rsid w:val="00063E28"/>
    <w:rsid w:val="00857519"/>
    <w:rsid w:val="00BE2AC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B681C6"/>
  <w15:docId w15:val="{7CF85C3A-AD42-484B-90C3-840894BEB1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2"/>
        <w:szCs w:val="22"/>
        <w:lang w:val="en-GB" w:eastAsia="en-GB" w:bidi="ar-SA"/>
      </w:rPr>
    </w:rPrDefault>
    <w:pPrDefault>
      <w:pPr>
        <w:spacing w:after="240" w:line="360" w:lineRule="auto"/>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overflowPunct w:val="0"/>
      <w:autoSpaceDE w:val="0"/>
      <w:autoSpaceDN w:val="0"/>
      <w:adjustRightInd w:val="0"/>
      <w:textAlignment w:val="baseline"/>
    </w:pPr>
    <w:rPr>
      <w:lang w:eastAsia="en-US"/>
    </w:rPr>
  </w:style>
  <w:style w:type="paragraph" w:styleId="Heading1">
    <w:name w:val="heading 1"/>
    <w:basedOn w:val="HouseStyleBase"/>
    <w:link w:val="Heading1Char"/>
    <w:uiPriority w:val="9"/>
    <w:qFormat/>
    <w:pPr>
      <w:numPr>
        <w:numId w:val="2"/>
      </w:numPr>
      <w:outlineLvl w:val="0"/>
    </w:pPr>
  </w:style>
  <w:style w:type="paragraph" w:styleId="Heading2">
    <w:name w:val="heading 2"/>
    <w:basedOn w:val="HouseStyleBase"/>
    <w:link w:val="Heading2Char"/>
    <w:uiPriority w:val="9"/>
    <w:semiHidden/>
    <w:unhideWhenUsed/>
    <w:qFormat/>
    <w:pPr>
      <w:numPr>
        <w:ilvl w:val="1"/>
        <w:numId w:val="2"/>
      </w:numPr>
      <w:outlineLvl w:val="1"/>
    </w:pPr>
    <w:rPr>
      <w:rFonts w:ascii="Calibri" w:hAnsi="Calibri"/>
    </w:rPr>
  </w:style>
  <w:style w:type="paragraph" w:styleId="Heading3">
    <w:name w:val="heading 3"/>
    <w:basedOn w:val="HouseStyleBase"/>
    <w:link w:val="Heading3Char"/>
    <w:uiPriority w:val="9"/>
    <w:semiHidden/>
    <w:unhideWhenUsed/>
    <w:qFormat/>
    <w:pPr>
      <w:numPr>
        <w:ilvl w:val="2"/>
        <w:numId w:val="2"/>
      </w:numPr>
      <w:outlineLvl w:val="2"/>
    </w:pPr>
  </w:style>
  <w:style w:type="paragraph" w:styleId="Heading4">
    <w:name w:val="heading 4"/>
    <w:basedOn w:val="HouseStyleBase"/>
    <w:link w:val="Heading4Char"/>
    <w:uiPriority w:val="9"/>
    <w:semiHidden/>
    <w:unhideWhenUsed/>
    <w:qFormat/>
    <w:pPr>
      <w:numPr>
        <w:ilvl w:val="3"/>
        <w:numId w:val="2"/>
      </w:numPr>
      <w:outlineLvl w:val="3"/>
    </w:pPr>
  </w:style>
  <w:style w:type="paragraph" w:styleId="Heading5">
    <w:name w:val="heading 5"/>
    <w:basedOn w:val="HouseStyleBase"/>
    <w:link w:val="Heading5Char"/>
    <w:uiPriority w:val="9"/>
    <w:semiHidden/>
    <w:unhideWhenUsed/>
    <w:qFormat/>
    <w:pPr>
      <w:numPr>
        <w:ilvl w:val="4"/>
        <w:numId w:val="2"/>
      </w:numPr>
      <w:outlineLvl w:val="4"/>
    </w:pPr>
  </w:style>
  <w:style w:type="paragraph" w:styleId="Heading6">
    <w:name w:val="heading 6"/>
    <w:basedOn w:val="HouseStyleBase"/>
    <w:uiPriority w:val="9"/>
    <w:semiHidden/>
    <w:unhideWhenUsed/>
    <w:qFormat/>
    <w:pPr>
      <w:numPr>
        <w:ilvl w:val="5"/>
        <w:numId w:val="2"/>
      </w:numPr>
      <w:outlineLvl w:val="5"/>
    </w:pPr>
  </w:style>
  <w:style w:type="paragraph" w:styleId="Heading7">
    <w:name w:val="heading 7"/>
    <w:basedOn w:val="HouseStyleBase"/>
    <w:qFormat/>
    <w:pPr>
      <w:numPr>
        <w:ilvl w:val="6"/>
        <w:numId w:val="2"/>
      </w:numPr>
      <w:outlineLvl w:val="6"/>
    </w:pPr>
  </w:style>
  <w:style w:type="paragraph" w:styleId="Heading8">
    <w:name w:val="heading 8"/>
    <w:basedOn w:val="HouseStyleBase"/>
    <w:qFormat/>
    <w:pPr>
      <w:numPr>
        <w:ilvl w:val="7"/>
        <w:numId w:val="2"/>
      </w:numPr>
      <w:outlineLvl w:val="7"/>
    </w:pPr>
  </w:style>
  <w:style w:type="paragraph" w:styleId="Heading9">
    <w:name w:val="heading 9"/>
    <w:basedOn w:val="HouseStyleBase"/>
    <w:qFormat/>
    <w:pPr>
      <w:numPr>
        <w:ilvl w:val="8"/>
        <w:numId w:val="2"/>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uiPriority w:val="10"/>
    <w:qFormat/>
    <w:pPr>
      <w:spacing w:before="240" w:after="60"/>
      <w:jc w:val="center"/>
    </w:pPr>
    <w:rPr>
      <w:rFonts w:ascii="Arial" w:hAnsi="Arial"/>
      <w:b/>
      <w:kern w:val="28"/>
      <w:sz w:val="32"/>
    </w:rPr>
  </w:style>
  <w:style w:type="paragraph" w:styleId="Footer">
    <w:name w:val="footer"/>
    <w:basedOn w:val="Normal"/>
    <w:link w:val="FooterChar"/>
    <w:uiPriority w:val="99"/>
    <w:pPr>
      <w:tabs>
        <w:tab w:val="center" w:pos="4153"/>
        <w:tab w:val="right" w:pos="8306"/>
      </w:tabs>
      <w:spacing w:after="0" w:line="240" w:lineRule="auto"/>
    </w:pPr>
  </w:style>
  <w:style w:type="paragraph" w:styleId="BodyTextIndent">
    <w:name w:val="Body Text Indent"/>
    <w:basedOn w:val="HouseStyleBase"/>
    <w:link w:val="BodyTextIndentChar"/>
    <w:pPr>
      <w:tabs>
        <w:tab w:val="num" w:pos="720"/>
      </w:tabs>
      <w:ind w:left="720" w:hanging="720"/>
    </w:pPr>
    <w:rPr>
      <w:rFonts w:ascii="Calibri" w:hAnsi="Calibri"/>
    </w:rPr>
  </w:style>
  <w:style w:type="paragraph" w:styleId="BodyTextIndent2">
    <w:name w:val="Body Text Indent 2"/>
    <w:basedOn w:val="HouseStyleBase"/>
    <w:link w:val="BodyTextIndent2Char"/>
    <w:pPr>
      <w:tabs>
        <w:tab w:val="num" w:pos="1440"/>
      </w:tabs>
      <w:ind w:left="1440" w:hanging="720"/>
    </w:pPr>
  </w:style>
  <w:style w:type="paragraph" w:styleId="BodyTextIndent3">
    <w:name w:val="Body Text Indent 3"/>
    <w:basedOn w:val="HouseStyleBase"/>
    <w:pPr>
      <w:ind w:left="1800"/>
    </w:pPr>
  </w:style>
  <w:style w:type="paragraph" w:customStyle="1" w:styleId="BodyTextIndent4">
    <w:name w:val="Body Text Indent 4"/>
    <w:basedOn w:val="HouseStyleBase"/>
    <w:pPr>
      <w:ind w:left="2880"/>
    </w:pPr>
  </w:style>
  <w:style w:type="paragraph" w:customStyle="1" w:styleId="BodyTextIndent5">
    <w:name w:val="Body Text Indent 5"/>
    <w:basedOn w:val="HouseStyleBase"/>
    <w:pPr>
      <w:ind w:left="3600"/>
    </w:pPr>
  </w:style>
  <w:style w:type="paragraph" w:customStyle="1" w:styleId="MarginText">
    <w:name w:val="Margin Text"/>
    <w:basedOn w:val="HouseStyleBase"/>
    <w:link w:val="MarginTextChar"/>
    <w:rPr>
      <w:rFonts w:ascii="Calibri" w:hAnsi="Calibri"/>
    </w:rPr>
  </w:style>
  <w:style w:type="paragraph" w:styleId="BodyText">
    <w:name w:val="Body Text"/>
    <w:basedOn w:val="Normal"/>
    <w:link w:val="BodyTextChar"/>
    <w:uiPriority w:val="99"/>
    <w:pPr>
      <w:spacing w:after="120"/>
    </w:pPr>
  </w:style>
  <w:style w:type="character" w:styleId="PageNumber">
    <w:name w:val="page number"/>
    <w:rPr>
      <w:sz w:val="22"/>
    </w:rPr>
  </w:style>
  <w:style w:type="paragraph" w:styleId="Header">
    <w:name w:val="header"/>
    <w:basedOn w:val="Normal"/>
    <w:link w:val="HeaderChar"/>
    <w:uiPriority w:val="99"/>
    <w:pPr>
      <w:tabs>
        <w:tab w:val="center" w:pos="4153"/>
        <w:tab w:val="right" w:pos="8306"/>
      </w:tabs>
    </w:pPr>
  </w:style>
  <w:style w:type="paragraph" w:customStyle="1" w:styleId="BodyTextIndent6">
    <w:name w:val="Body Text Indent 6"/>
    <w:basedOn w:val="HouseStyleBase"/>
    <w:pPr>
      <w:ind w:left="4320"/>
    </w:pPr>
  </w:style>
  <w:style w:type="paragraph" w:customStyle="1" w:styleId="BodyTextIndent7">
    <w:name w:val="Body Text Indent 7"/>
    <w:basedOn w:val="HouseStyleBase"/>
    <w:pPr>
      <w:ind w:left="5040"/>
    </w:pPr>
  </w:style>
  <w:style w:type="paragraph" w:customStyle="1" w:styleId="SchHead">
    <w:name w:val="SchHead"/>
    <w:basedOn w:val="HouseStyleBaseCentred"/>
    <w:next w:val="SchPart"/>
    <w:pPr>
      <w:keepNext/>
      <w:tabs>
        <w:tab w:val="num" w:pos="720"/>
      </w:tabs>
      <w:ind w:left="720" w:hanging="720"/>
      <w:jc w:val="center"/>
      <w:outlineLvl w:val="0"/>
    </w:pPr>
    <w:rPr>
      <w:b/>
      <w:caps/>
    </w:rPr>
  </w:style>
  <w:style w:type="paragraph" w:customStyle="1" w:styleId="ScheduleL1">
    <w:name w:val="Schedule L1"/>
    <w:basedOn w:val="HouseStyleBase"/>
    <w:pPr>
      <w:keepNext/>
      <w:tabs>
        <w:tab w:val="num" w:pos="720"/>
      </w:tabs>
      <w:ind w:left="720" w:hanging="720"/>
      <w:outlineLvl w:val="0"/>
    </w:pPr>
    <w:rPr>
      <w:rFonts w:ascii="Calibri" w:hAnsi="Calibri"/>
      <w:b/>
      <w:bCs/>
    </w:rPr>
  </w:style>
  <w:style w:type="paragraph" w:styleId="ListBullet">
    <w:name w:val="List Bullet"/>
    <w:basedOn w:val="Normal"/>
    <w:pPr>
      <w:ind w:left="720" w:hanging="720"/>
    </w:pPr>
  </w:style>
  <w:style w:type="paragraph" w:styleId="TOAHeading">
    <w:name w:val="toa heading"/>
    <w:basedOn w:val="Normal"/>
    <w:next w:val="Normal"/>
    <w:semiHidden/>
    <w:pPr>
      <w:spacing w:before="120"/>
    </w:pPr>
    <w:rPr>
      <w:b/>
    </w:rPr>
  </w:style>
  <w:style w:type="paragraph" w:styleId="ListBullet2">
    <w:name w:val="List Bullet 2"/>
    <w:basedOn w:val="HouseStyleBase"/>
    <w:pPr>
      <w:tabs>
        <w:tab w:val="num" w:pos="1440"/>
      </w:tabs>
      <w:ind w:left="1440" w:hanging="720"/>
    </w:pPr>
  </w:style>
  <w:style w:type="paragraph" w:customStyle="1" w:styleId="HouseStyleBase">
    <w:name w:val="House Style Base"/>
    <w:link w:val="HouseStyleBaseChar"/>
    <w:pPr>
      <w:adjustRightInd w:val="0"/>
    </w:pPr>
    <w:rPr>
      <w:rFonts w:eastAsia="STZhongsong"/>
      <w:lang w:eastAsia="zh-CN"/>
    </w:rPr>
  </w:style>
  <w:style w:type="numbering" w:styleId="111111">
    <w:name w:val="Outline List 2"/>
    <w:basedOn w:val="NoList"/>
  </w:style>
  <w:style w:type="paragraph" w:styleId="TOC1">
    <w:name w:val="toc 1"/>
    <w:semiHidden/>
    <w:pPr>
      <w:tabs>
        <w:tab w:val="left" w:pos="720"/>
        <w:tab w:val="right" w:leader="dot" w:pos="9029"/>
      </w:tabs>
      <w:adjustRightInd w:val="0"/>
      <w:spacing w:after="120"/>
      <w:ind w:left="720" w:hanging="720"/>
    </w:pPr>
    <w:rPr>
      <w:rFonts w:eastAsia="STZhongsong"/>
      <w:caps/>
      <w:lang w:eastAsia="zh-CN"/>
    </w:rPr>
  </w:style>
  <w:style w:type="paragraph" w:styleId="TOC2">
    <w:name w:val="toc 2"/>
    <w:semiHidden/>
    <w:pPr>
      <w:tabs>
        <w:tab w:val="left" w:pos="1440"/>
        <w:tab w:val="right" w:leader="dot" w:pos="9029"/>
      </w:tabs>
      <w:adjustRightInd w:val="0"/>
      <w:spacing w:after="120"/>
      <w:ind w:left="1440" w:hanging="720"/>
    </w:pPr>
    <w:rPr>
      <w:rFonts w:eastAsia="STZhongsong"/>
      <w:lang w:eastAsia="zh-CN"/>
    </w:rPr>
  </w:style>
  <w:style w:type="paragraph" w:styleId="TOC3">
    <w:name w:val="toc 3"/>
    <w:semiHidden/>
    <w:pPr>
      <w:tabs>
        <w:tab w:val="left" w:pos="2160"/>
        <w:tab w:val="right" w:leader="dot" w:pos="9029"/>
      </w:tabs>
      <w:adjustRightInd w:val="0"/>
      <w:spacing w:after="120"/>
      <w:ind w:left="2160" w:hanging="720"/>
    </w:pPr>
    <w:rPr>
      <w:rFonts w:eastAsia="STZhongsong"/>
      <w:lang w:eastAsia="zh-CN"/>
    </w:rPr>
  </w:style>
  <w:style w:type="paragraph" w:styleId="TOC4">
    <w:name w:val="toc 4"/>
    <w:semiHidden/>
    <w:pPr>
      <w:tabs>
        <w:tab w:val="left" w:pos="2880"/>
        <w:tab w:val="right" w:leader="dot" w:pos="9029"/>
      </w:tabs>
      <w:adjustRightInd w:val="0"/>
      <w:spacing w:after="120"/>
      <w:ind w:left="2880" w:hanging="720"/>
    </w:pPr>
    <w:rPr>
      <w:rFonts w:eastAsia="STZhongsong"/>
      <w:lang w:eastAsia="zh-CN"/>
    </w:rPr>
  </w:style>
  <w:style w:type="paragraph" w:styleId="TOC5">
    <w:name w:val="toc 5"/>
    <w:semiHidden/>
    <w:pPr>
      <w:tabs>
        <w:tab w:val="left" w:pos="3600"/>
        <w:tab w:val="right" w:leader="dot" w:pos="9029"/>
      </w:tabs>
      <w:adjustRightInd w:val="0"/>
      <w:spacing w:after="120"/>
      <w:ind w:left="3600" w:hanging="720"/>
    </w:pPr>
    <w:rPr>
      <w:rFonts w:eastAsia="STZhongsong"/>
      <w:lang w:eastAsia="zh-CN"/>
    </w:rPr>
  </w:style>
  <w:style w:type="paragraph" w:styleId="TOC6">
    <w:name w:val="toc 6"/>
    <w:semiHidden/>
    <w:pPr>
      <w:tabs>
        <w:tab w:val="left" w:pos="4320"/>
        <w:tab w:val="right" w:leader="dot" w:pos="9029"/>
      </w:tabs>
      <w:adjustRightInd w:val="0"/>
      <w:spacing w:after="120"/>
      <w:ind w:left="4320" w:hanging="720"/>
    </w:pPr>
    <w:rPr>
      <w:rFonts w:eastAsia="STZhongsong"/>
      <w:lang w:eastAsia="zh-CN"/>
    </w:rPr>
  </w:style>
  <w:style w:type="paragraph" w:styleId="TOC7">
    <w:name w:val="toc 7"/>
    <w:semiHidden/>
    <w:pPr>
      <w:tabs>
        <w:tab w:val="left" w:pos="5040"/>
        <w:tab w:val="right" w:leader="dot" w:pos="9029"/>
      </w:tabs>
      <w:adjustRightInd w:val="0"/>
      <w:spacing w:after="120"/>
      <w:ind w:left="5040" w:hanging="720"/>
    </w:pPr>
    <w:rPr>
      <w:rFonts w:eastAsia="STZhongsong"/>
      <w:lang w:eastAsia="zh-CN"/>
    </w:rPr>
  </w:style>
  <w:style w:type="paragraph" w:styleId="TOC8">
    <w:name w:val="toc 8"/>
    <w:semiHidden/>
    <w:pPr>
      <w:tabs>
        <w:tab w:val="right" w:leader="dot" w:pos="9029"/>
      </w:tabs>
      <w:adjustRightInd w:val="0"/>
      <w:spacing w:after="120"/>
    </w:pPr>
    <w:rPr>
      <w:rFonts w:eastAsia="STZhongsong"/>
      <w:caps/>
      <w:lang w:eastAsia="zh-CN"/>
    </w:rPr>
  </w:style>
  <w:style w:type="paragraph" w:styleId="TOC9">
    <w:name w:val="toc 9"/>
    <w:semiHidden/>
    <w:pPr>
      <w:tabs>
        <w:tab w:val="right" w:leader="dot" w:pos="9029"/>
      </w:tabs>
      <w:adjustRightInd w:val="0"/>
      <w:spacing w:after="120"/>
      <w:ind w:left="720"/>
    </w:pPr>
    <w:rPr>
      <w:rFonts w:eastAsia="STZhongsong"/>
      <w:lang w:eastAsia="zh-CN"/>
    </w:rPr>
  </w:style>
  <w:style w:type="paragraph" w:customStyle="1" w:styleId="HouseStyleBaseCentred">
    <w:name w:val="House Style Base Centred"/>
    <w:pPr>
      <w:adjustRightInd w:val="0"/>
    </w:pPr>
    <w:rPr>
      <w:rFonts w:eastAsia="STZhongsong"/>
      <w:lang w:eastAsia="zh-CN"/>
    </w:rPr>
  </w:style>
  <w:style w:type="paragraph" w:styleId="FootnoteText">
    <w:name w:val="footnote text"/>
    <w:basedOn w:val="HouseStyleBase"/>
    <w:semiHidden/>
    <w:pPr>
      <w:spacing w:after="60"/>
      <w:ind w:left="720" w:hanging="720"/>
    </w:pPr>
    <w:rPr>
      <w:sz w:val="16"/>
    </w:rPr>
  </w:style>
  <w:style w:type="character" w:styleId="FootnoteReference">
    <w:name w:val="footnote reference"/>
    <w:uiPriority w:val="99"/>
    <w:semiHidden/>
    <w:rPr>
      <w:rFonts w:ascii="Times New Roman" w:hAnsi="Times New Roman" w:cs="Times New Roman"/>
      <w:b w:val="0"/>
      <w:bCs w:val="0"/>
      <w:i w:val="0"/>
      <w:iCs w:val="0"/>
      <w:caps w:val="0"/>
      <w:smallCaps w:val="0"/>
      <w:strike w:val="0"/>
      <w:dstrike w:val="0"/>
      <w:snapToGrid w:val="0"/>
      <w:vanish w:val="0"/>
      <w:color w:val="auto"/>
      <w:kern w:val="0"/>
      <w:sz w:val="22"/>
      <w:u w:val="none"/>
      <w:effect w:val="none"/>
      <w:vertAlign w:val="superscript"/>
      <w:em w:val="none"/>
      <w14:shadow w14:blurRad="0" w14:dist="0" w14:dir="0" w14:sx="0" w14:sy="0" w14:kx="0" w14:ky="0" w14:algn="none">
        <w14:srgbClr w14:val="000000"/>
      </w14:shadow>
      <w14:textOutline w14:w="0" w14:cap="rnd" w14:cmpd="sng" w14:algn="ctr">
        <w14:noFill/>
        <w14:prstDash w14:val="solid"/>
        <w14:bevel/>
      </w14:textOutline>
    </w:rPr>
  </w:style>
  <w:style w:type="paragraph" w:styleId="EndnoteText">
    <w:name w:val="endnote text"/>
    <w:basedOn w:val="HouseStyleBase"/>
    <w:semiHidden/>
    <w:pPr>
      <w:spacing w:after="120"/>
      <w:ind w:left="720" w:hanging="720"/>
    </w:pPr>
    <w:rPr>
      <w:sz w:val="18"/>
    </w:rPr>
  </w:style>
  <w:style w:type="character" w:styleId="EndnoteReference">
    <w:name w:val="endnote reference"/>
    <w:semiHidden/>
    <w:rPr>
      <w:rFonts w:ascii="Times New Roman" w:hAnsi="Times New Roman" w:cs="Times New Roman"/>
      <w:b w:val="0"/>
      <w:bCs w:val="0"/>
      <w:i w:val="0"/>
      <w:iCs w:val="0"/>
      <w:caps w:val="0"/>
      <w:smallCaps w:val="0"/>
      <w:strike w:val="0"/>
      <w:dstrike w:val="0"/>
      <w:snapToGrid w:val="0"/>
      <w:vanish w:val="0"/>
      <w:color w:val="auto"/>
      <w:kern w:val="0"/>
      <w:sz w:val="22"/>
      <w:u w:val="none"/>
      <w:effect w:val="none"/>
      <w:vertAlign w:val="superscript"/>
      <w:em w:val="none"/>
      <w14:shadow w14:blurRad="0" w14:dist="0" w14:dir="0" w14:sx="0" w14:sy="0" w14:kx="0" w14:ky="0" w14:algn="none">
        <w14:srgbClr w14:val="000000"/>
      </w14:shadow>
      <w14:textOutline w14:w="0" w14:cap="rnd" w14:cmpd="sng" w14:algn="ctr">
        <w14:noFill/>
        <w14:prstDash w14:val="solid"/>
        <w14:bevel/>
      </w14:textOutline>
    </w:rPr>
  </w:style>
  <w:style w:type="table" w:styleId="TableGrid">
    <w:name w:val="Table Grid"/>
    <w:basedOn w:val="TableNormal"/>
    <w:uiPriority w:val="59"/>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
    <w:name w:val="Heading"/>
    <w:basedOn w:val="HouseStyleBaseCentred"/>
    <w:next w:val="MarginText"/>
    <w:pPr>
      <w:keepNext/>
      <w:jc w:val="center"/>
    </w:pPr>
    <w:rPr>
      <w:b/>
      <w:caps/>
    </w:rPr>
  </w:style>
  <w:style w:type="paragraph" w:customStyle="1" w:styleId="AppHead">
    <w:name w:val="AppHead"/>
    <w:basedOn w:val="HouseStyleBaseCentred"/>
    <w:pPr>
      <w:tabs>
        <w:tab w:val="num" w:pos="720"/>
      </w:tabs>
      <w:ind w:left="720" w:hanging="720"/>
      <w:jc w:val="center"/>
      <w:outlineLvl w:val="0"/>
    </w:pPr>
    <w:rPr>
      <w:b/>
      <w:caps/>
    </w:rPr>
  </w:style>
  <w:style w:type="paragraph" w:customStyle="1" w:styleId="RecitalNumbering">
    <w:name w:val="Recital Numbering"/>
    <w:basedOn w:val="HouseStyleBase"/>
    <w:pPr>
      <w:tabs>
        <w:tab w:val="num" w:pos="720"/>
      </w:tabs>
      <w:ind w:left="720" w:hanging="720"/>
      <w:outlineLvl w:val="0"/>
    </w:pPr>
  </w:style>
  <w:style w:type="paragraph" w:customStyle="1" w:styleId="DefinitionNumbering1">
    <w:name w:val="Definition Numbering 1"/>
    <w:basedOn w:val="HouseStyleBase"/>
    <w:pPr>
      <w:tabs>
        <w:tab w:val="num" w:pos="2160"/>
      </w:tabs>
      <w:spacing w:after="120"/>
      <w:ind w:left="2160" w:hanging="720"/>
      <w:outlineLvl w:val="0"/>
    </w:pPr>
    <w:rPr>
      <w:rFonts w:ascii="Calibri" w:hAnsi="Calibri"/>
    </w:rPr>
  </w:style>
  <w:style w:type="paragraph" w:customStyle="1" w:styleId="DefinitionNumbering2">
    <w:name w:val="Definition Numbering 2"/>
    <w:basedOn w:val="HouseStyleBase"/>
    <w:pPr>
      <w:tabs>
        <w:tab w:val="num" w:pos="2880"/>
      </w:tabs>
      <w:ind w:left="2880" w:hanging="720"/>
      <w:outlineLvl w:val="1"/>
    </w:pPr>
  </w:style>
  <w:style w:type="paragraph" w:customStyle="1" w:styleId="DefinitionNumbering3">
    <w:name w:val="Definition Numbering 3"/>
    <w:basedOn w:val="HouseStyleBase"/>
    <w:pPr>
      <w:tabs>
        <w:tab w:val="num" w:pos="3600"/>
      </w:tabs>
      <w:ind w:left="3600" w:hanging="720"/>
      <w:outlineLvl w:val="2"/>
    </w:pPr>
  </w:style>
  <w:style w:type="paragraph" w:customStyle="1" w:styleId="DefinitionNumbering4">
    <w:name w:val="Definition Numbering 4"/>
    <w:basedOn w:val="HouseStyleBase"/>
    <w:pPr>
      <w:tabs>
        <w:tab w:val="num" w:pos="4320"/>
      </w:tabs>
      <w:ind w:left="4320" w:hanging="720"/>
      <w:outlineLvl w:val="3"/>
    </w:pPr>
  </w:style>
  <w:style w:type="paragraph" w:customStyle="1" w:styleId="DefinitionNumbering5">
    <w:name w:val="Definition Numbering 5"/>
    <w:basedOn w:val="HouseStyleBase"/>
    <w:pPr>
      <w:tabs>
        <w:tab w:val="num" w:pos="5040"/>
      </w:tabs>
      <w:ind w:left="5040" w:hanging="720"/>
      <w:outlineLvl w:val="4"/>
    </w:pPr>
  </w:style>
  <w:style w:type="paragraph" w:customStyle="1" w:styleId="DefinitionNumbering6">
    <w:name w:val="Definition Numbering 6"/>
    <w:basedOn w:val="HouseStyleBase"/>
    <w:pPr>
      <w:tabs>
        <w:tab w:val="num" w:pos="5760"/>
      </w:tabs>
      <w:ind w:left="5760" w:hanging="720"/>
      <w:outlineLvl w:val="5"/>
    </w:pPr>
  </w:style>
  <w:style w:type="paragraph" w:customStyle="1" w:styleId="DefinitionNumbering7">
    <w:name w:val="Definition Numbering 7"/>
    <w:basedOn w:val="HouseStyleBase"/>
    <w:pPr>
      <w:tabs>
        <w:tab w:val="num" w:pos="6480"/>
      </w:tabs>
      <w:ind w:left="6480" w:hanging="720"/>
      <w:outlineLvl w:val="6"/>
    </w:pPr>
  </w:style>
  <w:style w:type="paragraph" w:customStyle="1" w:styleId="DefinitionNumbering8">
    <w:name w:val="Definition Numbering 8"/>
    <w:basedOn w:val="HouseStyleBase"/>
    <w:pPr>
      <w:tabs>
        <w:tab w:val="num" w:pos="5760"/>
      </w:tabs>
      <w:ind w:left="5760" w:hanging="720"/>
      <w:outlineLvl w:val="7"/>
    </w:pPr>
  </w:style>
  <w:style w:type="paragraph" w:customStyle="1" w:styleId="DefinitionNumbering9">
    <w:name w:val="Definition Numbering 9"/>
    <w:basedOn w:val="HouseStyleBase"/>
    <w:pPr>
      <w:tabs>
        <w:tab w:val="num" w:pos="6480"/>
      </w:tabs>
      <w:ind w:left="6480" w:hanging="720"/>
      <w:outlineLvl w:val="8"/>
    </w:pPr>
  </w:style>
  <w:style w:type="paragraph" w:customStyle="1" w:styleId="ListBullet1">
    <w:name w:val="List Bullet 1"/>
    <w:basedOn w:val="HouseStyleBase"/>
    <w:pPr>
      <w:tabs>
        <w:tab w:val="num" w:pos="720"/>
      </w:tabs>
      <w:ind w:left="720" w:hanging="720"/>
    </w:pPr>
  </w:style>
  <w:style w:type="paragraph" w:styleId="ListBullet3">
    <w:name w:val="List Bullet 3"/>
    <w:basedOn w:val="HouseStyleBase"/>
    <w:pPr>
      <w:tabs>
        <w:tab w:val="num" w:pos="2160"/>
      </w:tabs>
      <w:ind w:left="2160" w:hanging="720"/>
    </w:pPr>
  </w:style>
  <w:style w:type="paragraph" w:styleId="ListBullet4">
    <w:name w:val="List Bullet 4"/>
    <w:basedOn w:val="HouseStyleBase"/>
    <w:pPr>
      <w:tabs>
        <w:tab w:val="num" w:pos="2880"/>
      </w:tabs>
      <w:ind w:left="2880" w:hanging="720"/>
    </w:pPr>
  </w:style>
  <w:style w:type="paragraph" w:styleId="ListBullet5">
    <w:name w:val="List Bullet 5"/>
    <w:basedOn w:val="HouseStyleBase"/>
    <w:pPr>
      <w:tabs>
        <w:tab w:val="num" w:pos="3600"/>
      </w:tabs>
      <w:ind w:left="3600" w:hanging="720"/>
    </w:pPr>
  </w:style>
  <w:style w:type="paragraph" w:customStyle="1" w:styleId="ListBullet6">
    <w:name w:val="List Bullet 6"/>
    <w:basedOn w:val="HouseStyleBase"/>
    <w:pPr>
      <w:tabs>
        <w:tab w:val="num" w:pos="4320"/>
      </w:tabs>
      <w:ind w:left="4320" w:hanging="720"/>
    </w:pPr>
  </w:style>
  <w:style w:type="paragraph" w:customStyle="1" w:styleId="ListBullet7">
    <w:name w:val="List Bullet 7"/>
    <w:basedOn w:val="HouseStyleBase"/>
    <w:pPr>
      <w:tabs>
        <w:tab w:val="num" w:pos="5040"/>
      </w:tabs>
      <w:ind w:left="5040" w:hanging="720"/>
    </w:pPr>
  </w:style>
  <w:style w:type="paragraph" w:customStyle="1" w:styleId="ListBullet8">
    <w:name w:val="List Bullet 8"/>
    <w:basedOn w:val="HouseStyleBase"/>
    <w:pPr>
      <w:tabs>
        <w:tab w:val="num" w:pos="5760"/>
      </w:tabs>
      <w:ind w:left="5760" w:hanging="720"/>
    </w:pPr>
  </w:style>
  <w:style w:type="paragraph" w:customStyle="1" w:styleId="ListBullet9">
    <w:name w:val="List Bullet 9"/>
    <w:basedOn w:val="HouseStyleBase"/>
    <w:pPr>
      <w:tabs>
        <w:tab w:val="num" w:pos="6480"/>
      </w:tabs>
      <w:ind w:left="6480" w:hanging="720"/>
    </w:pPr>
  </w:style>
  <w:style w:type="paragraph" w:customStyle="1" w:styleId="SchPart">
    <w:name w:val="SchPart"/>
    <w:basedOn w:val="HouseStyleBaseCentred"/>
    <w:next w:val="MarginText"/>
    <w:pPr>
      <w:keepNext/>
      <w:tabs>
        <w:tab w:val="num" w:pos="1440"/>
      </w:tabs>
      <w:ind w:left="1440" w:hanging="720"/>
      <w:jc w:val="center"/>
      <w:outlineLvl w:val="1"/>
    </w:pPr>
    <w:rPr>
      <w:b/>
    </w:rPr>
  </w:style>
  <w:style w:type="paragraph" w:customStyle="1" w:styleId="ScheduleL2">
    <w:name w:val="Schedule L2"/>
    <w:basedOn w:val="HouseStyleBase"/>
    <w:pPr>
      <w:tabs>
        <w:tab w:val="num" w:pos="1440"/>
      </w:tabs>
      <w:ind w:left="1440" w:hanging="720"/>
      <w:outlineLvl w:val="1"/>
    </w:pPr>
    <w:rPr>
      <w:rFonts w:ascii="Calibri" w:hAnsi="Calibri"/>
    </w:rPr>
  </w:style>
  <w:style w:type="paragraph" w:customStyle="1" w:styleId="ScheduleL3">
    <w:name w:val="Schedule L3"/>
    <w:basedOn w:val="HouseStyleBase"/>
    <w:pPr>
      <w:tabs>
        <w:tab w:val="num" w:pos="2160"/>
      </w:tabs>
      <w:ind w:left="2160" w:hanging="720"/>
      <w:outlineLvl w:val="2"/>
    </w:pPr>
    <w:rPr>
      <w:rFonts w:ascii="Calibri" w:hAnsi="Calibri"/>
    </w:rPr>
  </w:style>
  <w:style w:type="paragraph" w:customStyle="1" w:styleId="ScheduleL4">
    <w:name w:val="Schedule L4"/>
    <w:basedOn w:val="HouseStyleBase"/>
    <w:pPr>
      <w:tabs>
        <w:tab w:val="num" w:pos="2880"/>
      </w:tabs>
      <w:ind w:left="2880" w:hanging="720"/>
      <w:outlineLvl w:val="3"/>
    </w:pPr>
  </w:style>
  <w:style w:type="paragraph" w:customStyle="1" w:styleId="ScheduleL5">
    <w:name w:val="Schedule L5"/>
    <w:basedOn w:val="HouseStyleBase"/>
    <w:pPr>
      <w:tabs>
        <w:tab w:val="num" w:pos="3600"/>
      </w:tabs>
      <w:ind w:left="3600" w:hanging="720"/>
      <w:outlineLvl w:val="4"/>
    </w:pPr>
  </w:style>
  <w:style w:type="paragraph" w:customStyle="1" w:styleId="ScheduleL6">
    <w:name w:val="Schedule L6"/>
    <w:basedOn w:val="HouseStyleBase"/>
    <w:pPr>
      <w:tabs>
        <w:tab w:val="num" w:pos="4320"/>
      </w:tabs>
      <w:ind w:left="4320" w:hanging="720"/>
      <w:outlineLvl w:val="5"/>
    </w:pPr>
  </w:style>
  <w:style w:type="paragraph" w:customStyle="1" w:styleId="ScheduleL7">
    <w:name w:val="Schedule L7"/>
    <w:basedOn w:val="HouseStyleBase"/>
    <w:pPr>
      <w:tabs>
        <w:tab w:val="num" w:pos="5040"/>
      </w:tabs>
      <w:ind w:left="5040" w:hanging="720"/>
      <w:outlineLvl w:val="6"/>
    </w:pPr>
  </w:style>
  <w:style w:type="paragraph" w:customStyle="1" w:styleId="ScheduleL8">
    <w:name w:val="Schedule L8"/>
    <w:basedOn w:val="HouseStyleBase"/>
    <w:pPr>
      <w:tabs>
        <w:tab w:val="num" w:pos="5760"/>
      </w:tabs>
      <w:ind w:left="5760" w:hanging="720"/>
      <w:outlineLvl w:val="7"/>
    </w:pPr>
  </w:style>
  <w:style w:type="paragraph" w:customStyle="1" w:styleId="ScheduleL9">
    <w:name w:val="Schedule L9"/>
    <w:basedOn w:val="HouseStyleBase"/>
    <w:pPr>
      <w:tabs>
        <w:tab w:val="num" w:pos="6480"/>
      </w:tabs>
      <w:ind w:left="6480" w:hanging="720"/>
      <w:outlineLvl w:val="8"/>
    </w:pPr>
  </w:style>
  <w:style w:type="paragraph" w:customStyle="1" w:styleId="SchSection">
    <w:name w:val="SchSection"/>
    <w:basedOn w:val="HouseStyleBaseCentred"/>
    <w:next w:val="MarginText"/>
    <w:pPr>
      <w:keepNext/>
      <w:tabs>
        <w:tab w:val="num" w:pos="2160"/>
      </w:tabs>
      <w:ind w:left="2160" w:hanging="720"/>
      <w:jc w:val="center"/>
      <w:outlineLvl w:val="2"/>
    </w:pPr>
    <w:rPr>
      <w:b/>
    </w:rPr>
  </w:style>
  <w:style w:type="paragraph" w:customStyle="1" w:styleId="Table-followingparagraph">
    <w:name w:val="Table - following paragraph"/>
    <w:basedOn w:val="HouseStyleBase"/>
    <w:next w:val="MarginText"/>
    <w:pPr>
      <w:spacing w:after="0"/>
    </w:pPr>
  </w:style>
  <w:style w:type="paragraph" w:customStyle="1" w:styleId="Table-Text">
    <w:name w:val="Table - Text"/>
    <w:basedOn w:val="HouseStyleBase"/>
    <w:pPr>
      <w:spacing w:before="120" w:after="120"/>
      <w:jc w:val="left"/>
    </w:pPr>
  </w:style>
  <w:style w:type="paragraph" w:customStyle="1" w:styleId="AppPart">
    <w:name w:val="AppPart"/>
    <w:basedOn w:val="HouseStyleBaseCentred"/>
    <w:pPr>
      <w:tabs>
        <w:tab w:val="num" w:pos="1440"/>
      </w:tabs>
      <w:ind w:left="1440" w:hanging="720"/>
      <w:jc w:val="center"/>
      <w:outlineLvl w:val="1"/>
    </w:pPr>
    <w:rPr>
      <w:b/>
    </w:rPr>
  </w:style>
  <w:style w:type="paragraph" w:customStyle="1" w:styleId="RecitalNumbering2">
    <w:name w:val="Recital Numbering 2"/>
    <w:basedOn w:val="HouseStyleBase"/>
    <w:pPr>
      <w:tabs>
        <w:tab w:val="num" w:pos="1440"/>
      </w:tabs>
      <w:overflowPunct w:val="0"/>
      <w:autoSpaceDE w:val="0"/>
      <w:autoSpaceDN w:val="0"/>
      <w:ind w:left="1440" w:hanging="720"/>
      <w:textAlignment w:val="baseline"/>
    </w:pPr>
  </w:style>
  <w:style w:type="paragraph" w:customStyle="1" w:styleId="RecitalNumbering3">
    <w:name w:val="Recital Numbering 3"/>
    <w:basedOn w:val="HouseStyleBase"/>
    <w:pPr>
      <w:tabs>
        <w:tab w:val="num" w:pos="2160"/>
      </w:tabs>
      <w:overflowPunct w:val="0"/>
      <w:autoSpaceDE w:val="0"/>
      <w:autoSpaceDN w:val="0"/>
      <w:ind w:left="2160" w:hanging="720"/>
      <w:textAlignment w:val="baseline"/>
    </w:pPr>
  </w:style>
  <w:style w:type="paragraph" w:styleId="BalloonText">
    <w:name w:val="Balloon Text"/>
    <w:basedOn w:val="Normal"/>
    <w:link w:val="BalloonTextChar"/>
    <w:pPr>
      <w:spacing w:after="0" w:line="240" w:lineRule="auto"/>
    </w:pPr>
    <w:rPr>
      <w:rFonts w:ascii="Tahoma" w:hAnsi="Tahoma" w:cs="Tahoma"/>
      <w:sz w:val="16"/>
      <w:szCs w:val="16"/>
    </w:rPr>
  </w:style>
  <w:style w:type="character" w:customStyle="1" w:styleId="BalloonTextChar">
    <w:name w:val="Balloon Text Char"/>
    <w:link w:val="BalloonText"/>
    <w:rPr>
      <w:rFonts w:ascii="Tahoma" w:hAnsi="Tahoma" w:cs="Tahoma"/>
      <w:sz w:val="16"/>
      <w:szCs w:val="16"/>
      <w:lang w:eastAsia="en-US"/>
    </w:rPr>
  </w:style>
  <w:style w:type="paragraph" w:styleId="Bibliography">
    <w:name w:val="Bibliography"/>
    <w:basedOn w:val="Normal"/>
    <w:next w:val="Normal"/>
    <w:uiPriority w:val="37"/>
    <w:semiHidden/>
    <w:unhideWhenUsed/>
  </w:style>
  <w:style w:type="paragraph" w:styleId="BlockText">
    <w:name w:val="Block Text"/>
    <w:basedOn w:val="Normal"/>
    <w:pPr>
      <w:spacing w:after="120"/>
      <w:ind w:left="1440" w:right="1440"/>
    </w:pPr>
  </w:style>
  <w:style w:type="paragraph" w:styleId="BodyText2">
    <w:name w:val="Body Text 2"/>
    <w:basedOn w:val="Normal"/>
    <w:link w:val="BodyText2Char"/>
    <w:pPr>
      <w:spacing w:after="120" w:line="480" w:lineRule="auto"/>
    </w:pPr>
  </w:style>
  <w:style w:type="character" w:customStyle="1" w:styleId="BodyText2Char">
    <w:name w:val="Body Text 2 Char"/>
    <w:link w:val="BodyText2"/>
    <w:rPr>
      <w:sz w:val="22"/>
      <w:lang w:eastAsia="en-US"/>
    </w:rPr>
  </w:style>
  <w:style w:type="paragraph" w:styleId="BodyText3">
    <w:name w:val="Body Text 3"/>
    <w:basedOn w:val="Normal"/>
    <w:link w:val="BodyText3Char"/>
    <w:pPr>
      <w:spacing w:after="120"/>
    </w:pPr>
    <w:rPr>
      <w:sz w:val="16"/>
      <w:szCs w:val="16"/>
    </w:rPr>
  </w:style>
  <w:style w:type="character" w:customStyle="1" w:styleId="BodyText3Char">
    <w:name w:val="Body Text 3 Char"/>
    <w:link w:val="BodyText3"/>
    <w:rPr>
      <w:sz w:val="16"/>
      <w:szCs w:val="16"/>
      <w:lang w:eastAsia="en-US"/>
    </w:rPr>
  </w:style>
  <w:style w:type="paragraph" w:styleId="BodyTextFirstIndent">
    <w:name w:val="Body Text First Indent"/>
    <w:basedOn w:val="BodyText"/>
    <w:link w:val="BodyTextFirstIndentChar"/>
    <w:pPr>
      <w:ind w:firstLine="210"/>
    </w:pPr>
  </w:style>
  <w:style w:type="character" w:customStyle="1" w:styleId="BodyTextChar">
    <w:name w:val="Body Text Char"/>
    <w:link w:val="BodyText"/>
    <w:uiPriority w:val="99"/>
    <w:rPr>
      <w:sz w:val="22"/>
      <w:lang w:eastAsia="en-US"/>
    </w:rPr>
  </w:style>
  <w:style w:type="character" w:customStyle="1" w:styleId="BodyTextFirstIndentChar">
    <w:name w:val="Body Text First Indent Char"/>
    <w:basedOn w:val="BodyTextChar"/>
    <w:link w:val="BodyTextFirstIndent"/>
    <w:rPr>
      <w:sz w:val="22"/>
      <w:lang w:eastAsia="en-US"/>
    </w:rPr>
  </w:style>
  <w:style w:type="paragraph" w:styleId="BodyTextFirstIndent2">
    <w:name w:val="Body Text First Indent 2"/>
    <w:basedOn w:val="BodyTextIndent"/>
    <w:link w:val="BodyTextFirstIndent2Char"/>
    <w:pPr>
      <w:tabs>
        <w:tab w:val="clear" w:pos="720"/>
      </w:tabs>
      <w:overflowPunct w:val="0"/>
      <w:autoSpaceDE w:val="0"/>
      <w:autoSpaceDN w:val="0"/>
      <w:spacing w:after="120"/>
      <w:ind w:left="283" w:firstLine="210"/>
      <w:textAlignment w:val="baseline"/>
    </w:pPr>
    <w:rPr>
      <w:rFonts w:eastAsia="Times New Roman"/>
      <w:lang w:eastAsia="en-US"/>
    </w:rPr>
  </w:style>
  <w:style w:type="character" w:customStyle="1" w:styleId="HouseStyleBaseChar">
    <w:name w:val="House Style Base Char"/>
    <w:link w:val="HouseStyleBase"/>
    <w:rPr>
      <w:rFonts w:eastAsia="STZhongsong"/>
      <w:sz w:val="22"/>
      <w:lang w:eastAsia="zh-CN"/>
    </w:rPr>
  </w:style>
  <w:style w:type="character" w:customStyle="1" w:styleId="BodyTextIndentChar">
    <w:name w:val="Body Text Indent Char"/>
    <w:link w:val="BodyTextIndent"/>
    <w:rPr>
      <w:rFonts w:ascii="Calibri" w:eastAsia="STZhongsong" w:hAnsi="Calibri"/>
      <w:lang w:eastAsia="zh-CN"/>
    </w:rPr>
  </w:style>
  <w:style w:type="character" w:customStyle="1" w:styleId="BodyTextFirstIndent2Char">
    <w:name w:val="Body Text First Indent 2 Char"/>
    <w:link w:val="BodyTextFirstIndent2"/>
    <w:rPr>
      <w:rFonts w:eastAsia="STZhongsong"/>
      <w:sz w:val="22"/>
      <w:lang w:eastAsia="en-US"/>
    </w:rPr>
  </w:style>
  <w:style w:type="character" w:styleId="BookTitle">
    <w:name w:val="Book Title"/>
    <w:uiPriority w:val="33"/>
    <w:qFormat/>
    <w:rPr>
      <w:b/>
      <w:bCs/>
      <w:smallCaps/>
      <w:spacing w:val="5"/>
    </w:rPr>
  </w:style>
  <w:style w:type="paragraph" w:styleId="Caption">
    <w:name w:val="caption"/>
    <w:basedOn w:val="Normal"/>
    <w:next w:val="Normal"/>
    <w:semiHidden/>
    <w:unhideWhenUsed/>
    <w:qFormat/>
    <w:rPr>
      <w:b/>
      <w:bCs/>
      <w:sz w:val="20"/>
    </w:rPr>
  </w:style>
  <w:style w:type="paragraph" w:styleId="Closing">
    <w:name w:val="Closing"/>
    <w:basedOn w:val="Normal"/>
    <w:link w:val="ClosingChar"/>
    <w:pPr>
      <w:ind w:left="4252"/>
    </w:pPr>
  </w:style>
  <w:style w:type="character" w:customStyle="1" w:styleId="ClosingChar">
    <w:name w:val="Closing Char"/>
    <w:link w:val="Closing"/>
    <w:rPr>
      <w:sz w:val="22"/>
      <w:lang w:eastAsia="en-US"/>
    </w:rPr>
  </w:style>
  <w:style w:type="table" w:styleId="ColorfulGrid">
    <w:name w:val="Colorful Grid"/>
    <w:basedOn w:val="TableNormal"/>
    <w:uiPriority w:val="73"/>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rPr>
      <w:color w:val="000000"/>
    </w:rPr>
    <w:tblPr>
      <w:tblStyleRowBandSize w:val="1"/>
      <w:tblStyleColBandSize w:val="1"/>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2">
    <w:name w:val="Colorful Grid Accent 2"/>
    <w:basedOn w:val="TableNormal"/>
    <w:uiPriority w:val="73"/>
    <w:rPr>
      <w:color w:val="000000"/>
    </w:rPr>
    <w:tblPr>
      <w:tblStyleRowBandSize w:val="1"/>
      <w:tblStyleColBandSize w:val="1"/>
      <w:tblBorders>
        <w:insideH w:val="single" w:sz="4" w:space="0" w:color="FFFFFF"/>
      </w:tblBorders>
    </w:tblPr>
    <w:tcPr>
      <w:shd w:val="clear" w:color="auto" w:fill="F2DBDB"/>
    </w:tcPr>
    <w:tblStylePr w:type="firstRow">
      <w:rPr>
        <w:b/>
        <w:bCs/>
      </w:rPr>
      <w:tblPr/>
      <w:tcPr>
        <w:shd w:val="clear" w:color="auto" w:fill="E5B8B7"/>
      </w:tcPr>
    </w:tblStylePr>
    <w:tblStylePr w:type="lastRow">
      <w:rPr>
        <w:b/>
        <w:bCs/>
        <w:color w:val="000000"/>
      </w:rPr>
      <w:tblPr/>
      <w:tcPr>
        <w:shd w:val="clear" w:color="auto" w:fill="E5B8B7"/>
      </w:tcPr>
    </w:tblStylePr>
    <w:tblStylePr w:type="firstCol">
      <w:rPr>
        <w:color w:val="FFFFFF"/>
      </w:rPr>
      <w:tblPr/>
      <w:tcPr>
        <w:shd w:val="clear" w:color="auto" w:fill="943634"/>
      </w:tcPr>
    </w:tblStylePr>
    <w:tblStylePr w:type="lastCol">
      <w:rPr>
        <w:color w:val="FFFFFF"/>
      </w:rPr>
      <w:tblPr/>
      <w:tcPr>
        <w:shd w:val="clear" w:color="auto" w:fill="943634"/>
      </w:tcPr>
    </w:tblStylePr>
    <w:tblStylePr w:type="band1Vert">
      <w:tblPr/>
      <w:tcPr>
        <w:shd w:val="clear" w:color="auto" w:fill="DFA7A6"/>
      </w:tcPr>
    </w:tblStylePr>
    <w:tblStylePr w:type="band1Horz">
      <w:tblPr/>
      <w:tcPr>
        <w:shd w:val="clear" w:color="auto" w:fill="DFA7A6"/>
      </w:tcPr>
    </w:tblStylePr>
  </w:style>
  <w:style w:type="table" w:styleId="ColorfulGrid-Accent3">
    <w:name w:val="Colorful Grid Accent 3"/>
    <w:basedOn w:val="TableNormal"/>
    <w:uiPriority w:val="73"/>
    <w:rPr>
      <w:color w:val="000000"/>
    </w:rPr>
    <w:tblPr>
      <w:tblStyleRowBandSize w:val="1"/>
      <w:tblStyleColBandSize w:val="1"/>
      <w:tblBorders>
        <w:insideH w:val="single" w:sz="4" w:space="0" w:color="FFFFFF"/>
      </w:tblBorders>
    </w:tblPr>
    <w:tcPr>
      <w:shd w:val="clear" w:color="auto" w:fill="EAF1DD"/>
    </w:tcPr>
    <w:tblStylePr w:type="firstRow">
      <w:rPr>
        <w:b/>
        <w:bCs/>
      </w:rPr>
      <w:tblPr/>
      <w:tcPr>
        <w:shd w:val="clear" w:color="auto" w:fill="D6E3BC"/>
      </w:tcPr>
    </w:tblStylePr>
    <w:tblStylePr w:type="lastRow">
      <w:rPr>
        <w:b/>
        <w:bCs/>
        <w:color w:val="000000"/>
      </w:rPr>
      <w:tblPr/>
      <w:tcPr>
        <w:shd w:val="clear" w:color="auto" w:fill="D6E3BC"/>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shd w:val="clear" w:color="auto" w:fill="CDDDAC"/>
      </w:tcPr>
    </w:tblStylePr>
    <w:tblStylePr w:type="band1Horz">
      <w:tblPr/>
      <w:tcPr>
        <w:shd w:val="clear" w:color="auto" w:fill="CDDDAC"/>
      </w:tcPr>
    </w:tblStylePr>
  </w:style>
  <w:style w:type="table" w:styleId="ColorfulGrid-Accent4">
    <w:name w:val="Colorful Grid Accent 4"/>
    <w:basedOn w:val="TableNormal"/>
    <w:uiPriority w:val="73"/>
    <w:rPr>
      <w:color w:val="000000"/>
    </w:rPr>
    <w:tblPr>
      <w:tblStyleRowBandSize w:val="1"/>
      <w:tblStyleColBandSize w:val="1"/>
      <w:tblBorders>
        <w:insideH w:val="single" w:sz="4" w:space="0" w:color="FFFFFF"/>
      </w:tblBorders>
    </w:tblPr>
    <w:tcPr>
      <w:shd w:val="clear" w:color="auto" w:fill="E5DFEC"/>
    </w:tcPr>
    <w:tblStylePr w:type="firstRow">
      <w:rPr>
        <w:b/>
        <w:bCs/>
      </w:rPr>
      <w:tblPr/>
      <w:tcPr>
        <w:shd w:val="clear" w:color="auto" w:fill="CCC0D9"/>
      </w:tcPr>
    </w:tblStylePr>
    <w:tblStylePr w:type="lastRow">
      <w:rPr>
        <w:b/>
        <w:bCs/>
        <w:color w:val="000000"/>
      </w:rPr>
      <w:tblPr/>
      <w:tcPr>
        <w:shd w:val="clear" w:color="auto" w:fill="CCC0D9"/>
      </w:tcPr>
    </w:tblStylePr>
    <w:tblStylePr w:type="firstCol">
      <w:rPr>
        <w:color w:val="FFFFFF"/>
      </w:rPr>
      <w:tblPr/>
      <w:tcPr>
        <w:shd w:val="clear" w:color="auto" w:fill="5F497A"/>
      </w:tcPr>
    </w:tblStylePr>
    <w:tblStylePr w:type="lastCol">
      <w:rPr>
        <w:color w:val="FFFFFF"/>
      </w:rPr>
      <w:tblPr/>
      <w:tcPr>
        <w:shd w:val="clear" w:color="auto" w:fill="5F497A"/>
      </w:tcPr>
    </w:tblStylePr>
    <w:tblStylePr w:type="band1Vert">
      <w:tblPr/>
      <w:tcPr>
        <w:shd w:val="clear" w:color="auto" w:fill="BFB1D0"/>
      </w:tcPr>
    </w:tblStylePr>
    <w:tblStylePr w:type="band1Horz">
      <w:tblPr/>
      <w:tcPr>
        <w:shd w:val="clear" w:color="auto" w:fill="BFB1D0"/>
      </w:tcPr>
    </w:tblStylePr>
  </w:style>
  <w:style w:type="table" w:styleId="ColorfulGrid-Accent5">
    <w:name w:val="Colorful Grid Accent 5"/>
    <w:basedOn w:val="TableNormal"/>
    <w:uiPriority w:val="73"/>
    <w:rPr>
      <w:color w:val="000000"/>
    </w:rPr>
    <w:tblPr>
      <w:tblStyleRowBandSize w:val="1"/>
      <w:tblStyleColBandSize w:val="1"/>
      <w:tblBorders>
        <w:insideH w:val="single" w:sz="4" w:space="0" w:color="FFFFFF"/>
      </w:tblBorders>
    </w:tblPr>
    <w:tcPr>
      <w:shd w:val="clear" w:color="auto" w:fill="DAEEF3"/>
    </w:tcPr>
    <w:tblStylePr w:type="firstRow">
      <w:rPr>
        <w:b/>
        <w:bCs/>
      </w:rPr>
      <w:tblPr/>
      <w:tcPr>
        <w:shd w:val="clear" w:color="auto" w:fill="B6DDE8"/>
      </w:tcPr>
    </w:tblStylePr>
    <w:tblStylePr w:type="lastRow">
      <w:rPr>
        <w:b/>
        <w:bCs/>
        <w:color w:val="000000"/>
      </w:rPr>
      <w:tblPr/>
      <w:tcPr>
        <w:shd w:val="clear" w:color="auto" w:fill="B6DDE8"/>
      </w:tcPr>
    </w:tblStylePr>
    <w:tblStylePr w:type="firstCol">
      <w:rPr>
        <w:color w:val="FFFFFF"/>
      </w:rPr>
      <w:tblPr/>
      <w:tcPr>
        <w:shd w:val="clear" w:color="auto" w:fill="31849B"/>
      </w:tcPr>
    </w:tblStylePr>
    <w:tblStylePr w:type="lastCol">
      <w:rPr>
        <w:color w:val="FFFFFF"/>
      </w:rPr>
      <w:tblPr/>
      <w:tcPr>
        <w:shd w:val="clear" w:color="auto" w:fill="31849B"/>
      </w:tcPr>
    </w:tblStylePr>
    <w:tblStylePr w:type="band1Vert">
      <w:tblPr/>
      <w:tcPr>
        <w:shd w:val="clear" w:color="auto" w:fill="A5D5E2"/>
      </w:tcPr>
    </w:tblStylePr>
    <w:tblStylePr w:type="band1Horz">
      <w:tblPr/>
      <w:tcPr>
        <w:shd w:val="clear" w:color="auto" w:fill="A5D5E2"/>
      </w:tcPr>
    </w:tblStylePr>
  </w:style>
  <w:style w:type="table" w:styleId="ColorfulGrid-Accent6">
    <w:name w:val="Colorful Grid Accent 6"/>
    <w:basedOn w:val="TableNormal"/>
    <w:uiPriority w:val="73"/>
    <w:rPr>
      <w:color w:val="000000"/>
    </w:rPr>
    <w:tblPr>
      <w:tblStyleRowBandSize w:val="1"/>
      <w:tblStyleColBandSize w:val="1"/>
      <w:tblBorders>
        <w:insideH w:val="single" w:sz="4" w:space="0" w:color="FFFFFF"/>
      </w:tblBorders>
    </w:tblPr>
    <w:tcPr>
      <w:shd w:val="clear" w:color="auto" w:fill="FDE9D9"/>
    </w:tcPr>
    <w:tblStylePr w:type="firstRow">
      <w:rPr>
        <w:b/>
        <w:bCs/>
      </w:rPr>
      <w:tblPr/>
      <w:tcPr>
        <w:shd w:val="clear" w:color="auto" w:fill="FBD4B4"/>
      </w:tcPr>
    </w:tblStylePr>
    <w:tblStylePr w:type="lastRow">
      <w:rPr>
        <w:b/>
        <w:bCs/>
        <w:color w:val="000000"/>
      </w:rPr>
      <w:tblPr/>
      <w:tcPr>
        <w:shd w:val="clear" w:color="auto" w:fill="FBD4B4"/>
      </w:tcPr>
    </w:tblStylePr>
    <w:tblStylePr w:type="firstCol">
      <w:rPr>
        <w:color w:val="FFFFFF"/>
      </w:rPr>
      <w:tblPr/>
      <w:tcPr>
        <w:shd w:val="clear" w:color="auto" w:fill="E36C0A"/>
      </w:tcPr>
    </w:tblStylePr>
    <w:tblStylePr w:type="lastCol">
      <w:rPr>
        <w:color w:val="FFFFFF"/>
      </w:rPr>
      <w:tblPr/>
      <w:tcPr>
        <w:shd w:val="clear" w:color="auto" w:fill="E36C0A"/>
      </w:tcPr>
    </w:tblStylePr>
    <w:tblStylePr w:type="band1Vert">
      <w:tblPr/>
      <w:tcPr>
        <w:shd w:val="clear" w:color="auto" w:fill="FBCAA2"/>
      </w:tcPr>
    </w:tblStylePr>
    <w:tblStylePr w:type="band1Horz">
      <w:tblPr/>
      <w:tcPr>
        <w:shd w:val="clear" w:color="auto" w:fill="FBCAA2"/>
      </w:tcPr>
    </w:tblStylePr>
  </w:style>
  <w:style w:type="table" w:styleId="ColorfulList">
    <w:name w:val="Colorful List"/>
    <w:basedOn w:val="TableNormal"/>
    <w:uiPriority w:val="72"/>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rPr>
      <w:color w:val="000000"/>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styleId="ColorfulList-Accent2">
    <w:name w:val="Colorful List Accent 2"/>
    <w:basedOn w:val="TableNormal"/>
    <w:uiPriority w:val="72"/>
    <w:rPr>
      <w:color w:val="000000"/>
    </w:rPr>
    <w:tblPr>
      <w:tblStyleRowBandSize w:val="1"/>
      <w:tblStyleColBandSize w:val="1"/>
    </w:tblPr>
    <w:tcPr>
      <w:shd w:val="clear" w:color="auto" w:fill="F8EDED"/>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cPr>
    </w:tblStylePr>
    <w:tblStylePr w:type="band1Horz">
      <w:tblPr/>
      <w:tcPr>
        <w:shd w:val="clear" w:color="auto" w:fill="F2DBDB"/>
      </w:tcPr>
    </w:tblStylePr>
  </w:style>
  <w:style w:type="table" w:styleId="ColorfulList-Accent3">
    <w:name w:val="Colorful List Accent 3"/>
    <w:basedOn w:val="TableNormal"/>
    <w:uiPriority w:val="72"/>
    <w:rPr>
      <w:color w:val="000000"/>
    </w:rPr>
    <w:tblPr>
      <w:tblStyleRowBandSize w:val="1"/>
      <w:tblStyleColBandSize w:val="1"/>
    </w:tblPr>
    <w:tcPr>
      <w:shd w:val="clear" w:color="auto" w:fill="F5F8EE"/>
    </w:tcPr>
    <w:tblStylePr w:type="firstRow">
      <w:rPr>
        <w:b/>
        <w:bCs/>
        <w:color w:val="FFFFFF"/>
      </w:rPr>
      <w:tblPr/>
      <w:tcPr>
        <w:tcBorders>
          <w:bottom w:val="single" w:sz="12" w:space="0" w:color="FFFFFF"/>
        </w:tcBorders>
        <w:shd w:val="clear" w:color="auto" w:fill="664E82"/>
      </w:tcPr>
    </w:tblStylePr>
    <w:tblStylePr w:type="lastRow">
      <w:rPr>
        <w:b/>
        <w:bCs/>
        <w:color w:val="664E8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cPr>
    </w:tblStylePr>
    <w:tblStylePr w:type="band1Horz">
      <w:tblPr/>
      <w:tcPr>
        <w:shd w:val="clear" w:color="auto" w:fill="EAF1DD"/>
      </w:tcPr>
    </w:tblStylePr>
  </w:style>
  <w:style w:type="table" w:styleId="ColorfulList-Accent4">
    <w:name w:val="Colorful List Accent 4"/>
    <w:basedOn w:val="TableNormal"/>
    <w:uiPriority w:val="72"/>
    <w:rPr>
      <w:color w:val="000000"/>
    </w:rPr>
    <w:tblPr>
      <w:tblStyleRowBandSize w:val="1"/>
      <w:tblStyleColBandSize w:val="1"/>
    </w:tblPr>
    <w:tcPr>
      <w:shd w:val="clear" w:color="auto" w:fill="F2EFF6"/>
    </w:tcPr>
    <w:tblStylePr w:type="firstRow">
      <w:rPr>
        <w:b/>
        <w:bCs/>
        <w:color w:val="FFFFFF"/>
      </w:rPr>
      <w:tblPr/>
      <w:tcPr>
        <w:tcBorders>
          <w:bottom w:val="single" w:sz="12" w:space="0" w:color="FFFFFF"/>
        </w:tcBorders>
        <w:shd w:val="clear" w:color="auto" w:fill="7E9C40"/>
      </w:tcPr>
    </w:tblStylePr>
    <w:tblStylePr w:type="lastRow">
      <w:rPr>
        <w:b/>
        <w:bCs/>
        <w:color w:val="7E9C4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cPr>
    </w:tblStylePr>
    <w:tblStylePr w:type="band1Horz">
      <w:tblPr/>
      <w:tcPr>
        <w:shd w:val="clear" w:color="auto" w:fill="E5DFEC"/>
      </w:tcPr>
    </w:tblStylePr>
  </w:style>
  <w:style w:type="table" w:styleId="ColorfulList-Accent5">
    <w:name w:val="Colorful List Accent 5"/>
    <w:basedOn w:val="TableNormal"/>
    <w:uiPriority w:val="72"/>
    <w:rPr>
      <w:color w:val="000000"/>
    </w:rPr>
    <w:tblPr>
      <w:tblStyleRowBandSize w:val="1"/>
      <w:tblStyleColBandSize w:val="1"/>
    </w:tblPr>
    <w:tcPr>
      <w:shd w:val="clear" w:color="auto" w:fill="EDF6F9"/>
    </w:tcPr>
    <w:tblStylePr w:type="firstRow">
      <w:rPr>
        <w:b/>
        <w:bCs/>
        <w:color w:val="FFFFFF"/>
      </w:rPr>
      <w:tblPr/>
      <w:tcPr>
        <w:tcBorders>
          <w:bottom w:val="single" w:sz="12" w:space="0" w:color="FFFFFF"/>
        </w:tcBorders>
        <w:shd w:val="clear" w:color="auto" w:fill="F2730A"/>
      </w:tcPr>
    </w:tblStylePr>
    <w:tblStylePr w:type="lastRow">
      <w:rPr>
        <w:b/>
        <w:bCs/>
        <w:color w:val="F2730A"/>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cPr>
    </w:tblStylePr>
    <w:tblStylePr w:type="band1Horz">
      <w:tblPr/>
      <w:tcPr>
        <w:shd w:val="clear" w:color="auto" w:fill="DAEEF3"/>
      </w:tcPr>
    </w:tblStylePr>
  </w:style>
  <w:style w:type="table" w:styleId="ColorfulList-Accent6">
    <w:name w:val="Colorful List Accent 6"/>
    <w:basedOn w:val="TableNormal"/>
    <w:uiPriority w:val="72"/>
    <w:rPr>
      <w:color w:val="000000"/>
    </w:rPr>
    <w:tblPr>
      <w:tblStyleRowBandSize w:val="1"/>
      <w:tblStyleColBandSize w:val="1"/>
    </w:tblPr>
    <w:tcPr>
      <w:shd w:val="clear" w:color="auto" w:fill="FEF4EC"/>
    </w:tcPr>
    <w:tblStylePr w:type="firstRow">
      <w:rPr>
        <w:b/>
        <w:bCs/>
        <w:color w:val="FFFFFF"/>
      </w:rPr>
      <w:tblPr/>
      <w:tcPr>
        <w:tcBorders>
          <w:bottom w:val="single" w:sz="12" w:space="0" w:color="FFFFFF"/>
        </w:tcBorders>
        <w:shd w:val="clear" w:color="auto" w:fill="348DA5"/>
      </w:tcPr>
    </w:tblStylePr>
    <w:tblStylePr w:type="lastRow">
      <w:rPr>
        <w:b/>
        <w:bCs/>
        <w:color w:val="348DA5"/>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cPr>
    </w:tblStylePr>
    <w:tblStylePr w:type="band1Horz">
      <w:tblPr/>
      <w:tcPr>
        <w:shd w:val="clear" w:color="auto" w:fill="FDE9D9"/>
      </w:tcPr>
    </w:tblStylePr>
  </w:style>
  <w:style w:type="table" w:styleId="ColorfulShading">
    <w:name w:val="Colorful Shading"/>
    <w:basedOn w:val="TableNormal"/>
    <w:uiPriority w:val="71"/>
    <w:rPr>
      <w:color w:val="000000"/>
    </w:rPr>
    <w:tblPr>
      <w:tblStyleRowBandSize w:val="1"/>
      <w:tblStyleColBandSize w:val="1"/>
      <w:tblBorders>
        <w:top w:val="single" w:sz="24" w:space="0" w:color="C0504D"/>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rPr>
      <w:color w:val="000000"/>
    </w:rPr>
    <w:tblPr>
      <w:tblStyleRowBandSize w:val="1"/>
      <w:tblStyleColBandSize w:val="1"/>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Pr>
    <w:tcPr>
      <w:shd w:val="clear" w:color="auto" w:fill="EDF2F8"/>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C4C74"/>
      </w:tcPr>
    </w:tblStylePr>
    <w:tblStylePr w:type="firstCol">
      <w:rPr>
        <w:color w:val="FFFFFF"/>
      </w:rPr>
      <w:tblPr/>
      <w:tcPr>
        <w:tcBorders>
          <w:top w:val="nil"/>
          <w:left w:val="nil"/>
          <w:bottom w:val="nil"/>
          <w:right w:val="nil"/>
          <w:insideH w:val="single" w:sz="4" w:space="0" w:color="2C4C74"/>
          <w:insideV w:val="nil"/>
        </w:tcBorders>
        <w:shd w:val="clear" w:color="auto" w:fill="2C4C74"/>
      </w:tcPr>
    </w:tblStylePr>
    <w:tblStylePr w:type="lastCol">
      <w:rPr>
        <w:color w:val="FFFFFF"/>
      </w:rPr>
      <w:tblPr/>
      <w:tcPr>
        <w:tcBorders>
          <w:top w:val="nil"/>
          <w:left w:val="nil"/>
          <w:bottom w:val="nil"/>
          <w:right w:val="nil"/>
          <w:insideH w:val="nil"/>
          <w:insideV w:val="nil"/>
        </w:tcBorders>
        <w:shd w:val="clear" w:color="auto" w:fill="2C4C74"/>
      </w:tcPr>
    </w:tblStylePr>
    <w:tblStylePr w:type="band1Vert">
      <w:tblPr/>
      <w:tcPr>
        <w:shd w:val="clear" w:color="auto" w:fill="B8CCE4"/>
      </w:tcPr>
    </w:tblStylePr>
    <w:tblStylePr w:type="band1Horz">
      <w:tblPr/>
      <w:tcPr>
        <w:shd w:val="clear" w:color="auto" w:fill="A7BFDE"/>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rPr>
      <w:color w:val="000000"/>
    </w:rPr>
    <w:tblPr>
      <w:tblStyleRowBandSize w:val="1"/>
      <w:tblStyleColBandSize w:val="1"/>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Pr>
      <w:color w:val="000000"/>
    </w:rPr>
    <w:tblPr>
      <w:tblStyleRowBandSize w:val="1"/>
      <w:tblStyleColBandSize w:val="1"/>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styleId="ColorfulShading-Accent4">
    <w:name w:val="Colorful Shading Accent 4"/>
    <w:basedOn w:val="TableNormal"/>
    <w:uiPriority w:val="71"/>
    <w:rPr>
      <w:color w:val="000000"/>
    </w:rPr>
    <w:tblPr>
      <w:tblStyleRowBandSize w:val="1"/>
      <w:tblStyleColBandSize w:val="1"/>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rPr>
      <w:color w:val="000000"/>
    </w:rPr>
    <w:tblPr>
      <w:tblStyleRowBandSize w:val="1"/>
      <w:tblStyleColBandSize w:val="1"/>
      <w:tblBorders>
        <w:top w:val="single" w:sz="24" w:space="0" w:color="F79646"/>
        <w:left w:val="single" w:sz="4" w:space="0" w:color="4BACC6"/>
        <w:bottom w:val="single" w:sz="4" w:space="0" w:color="4BACC6"/>
        <w:right w:val="single" w:sz="4" w:space="0" w:color="4BACC6"/>
        <w:insideH w:val="single" w:sz="4" w:space="0" w:color="FFFFFF"/>
        <w:insideV w:val="single" w:sz="4" w:space="0" w:color="FFFFFF"/>
      </w:tblBorders>
    </w:tblPr>
    <w:tcPr>
      <w:shd w:val="clear" w:color="auto" w:fill="EDF6F9"/>
    </w:tcPr>
    <w:tblStylePr w:type="firstRow">
      <w:rPr>
        <w:b/>
        <w:bCs/>
      </w:rPr>
      <w:tblPr/>
      <w:tcPr>
        <w:tcBorders>
          <w:top w:val="nil"/>
          <w:left w:val="nil"/>
          <w:bottom w:val="single" w:sz="24" w:space="0" w:color="F7964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76A7C"/>
      </w:tcPr>
    </w:tblStylePr>
    <w:tblStylePr w:type="firstCol">
      <w:rPr>
        <w:color w:val="FFFFFF"/>
      </w:rPr>
      <w:tblPr/>
      <w:tcPr>
        <w:tcBorders>
          <w:top w:val="nil"/>
          <w:left w:val="nil"/>
          <w:bottom w:val="nil"/>
          <w:right w:val="nil"/>
          <w:insideH w:val="single" w:sz="4" w:space="0" w:color="276A7C"/>
          <w:insideV w:val="nil"/>
        </w:tcBorders>
        <w:shd w:val="clear" w:color="auto" w:fill="276A7C"/>
      </w:tcPr>
    </w:tblStylePr>
    <w:tblStylePr w:type="lastCol">
      <w:rPr>
        <w:color w:val="FFFFFF"/>
      </w:rPr>
      <w:tblPr/>
      <w:tcPr>
        <w:tcBorders>
          <w:top w:val="nil"/>
          <w:left w:val="nil"/>
          <w:bottom w:val="nil"/>
          <w:right w:val="nil"/>
          <w:insideH w:val="nil"/>
          <w:insideV w:val="nil"/>
        </w:tcBorders>
        <w:shd w:val="clear" w:color="auto" w:fill="276A7C"/>
      </w:tcPr>
    </w:tblStylePr>
    <w:tblStylePr w:type="band1Vert">
      <w:tblPr/>
      <w:tcPr>
        <w:shd w:val="clear" w:color="auto" w:fill="B6DDE8"/>
      </w:tcPr>
    </w:tblStylePr>
    <w:tblStylePr w:type="band1Horz">
      <w:tblPr/>
      <w:tcPr>
        <w:shd w:val="clear" w:color="auto" w:fill="A5D5E2"/>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rPr>
      <w:color w:val="000000"/>
    </w:rPr>
    <w:tblPr>
      <w:tblStyleRowBandSize w:val="1"/>
      <w:tblStyleColBandSize w:val="1"/>
      <w:tblBorders>
        <w:top w:val="single" w:sz="24" w:space="0" w:color="4BACC6"/>
        <w:left w:val="single" w:sz="4" w:space="0" w:color="F79646"/>
        <w:bottom w:val="single" w:sz="4" w:space="0" w:color="F79646"/>
        <w:right w:val="single" w:sz="4" w:space="0" w:color="F79646"/>
        <w:insideH w:val="single" w:sz="4" w:space="0" w:color="FFFFFF"/>
        <w:insideV w:val="single" w:sz="4" w:space="0" w:color="FFFFFF"/>
      </w:tblBorders>
    </w:tblPr>
    <w:tcPr>
      <w:shd w:val="clear" w:color="auto" w:fill="FEF4EC"/>
    </w:tcPr>
    <w:tblStylePr w:type="firstRow">
      <w:rPr>
        <w:b/>
        <w:bCs/>
      </w:rPr>
      <w:tblPr/>
      <w:tcPr>
        <w:tcBorders>
          <w:top w:val="nil"/>
          <w:left w:val="nil"/>
          <w:bottom w:val="single" w:sz="24" w:space="0" w:color="4BACC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B65608"/>
      </w:tcPr>
    </w:tblStylePr>
    <w:tblStylePr w:type="firstCol">
      <w:rPr>
        <w:color w:val="FFFFFF"/>
      </w:rPr>
      <w:tblPr/>
      <w:tcPr>
        <w:tcBorders>
          <w:top w:val="nil"/>
          <w:left w:val="nil"/>
          <w:bottom w:val="nil"/>
          <w:right w:val="nil"/>
          <w:insideH w:val="single" w:sz="4" w:space="0" w:color="B65608"/>
          <w:insideV w:val="nil"/>
        </w:tcBorders>
        <w:shd w:val="clear" w:color="auto" w:fill="B65608"/>
      </w:tcPr>
    </w:tblStylePr>
    <w:tblStylePr w:type="lastCol">
      <w:rPr>
        <w:color w:val="FFFFFF"/>
      </w:rPr>
      <w:tblPr/>
      <w:tcPr>
        <w:tcBorders>
          <w:top w:val="nil"/>
          <w:left w:val="nil"/>
          <w:bottom w:val="nil"/>
          <w:right w:val="nil"/>
          <w:insideH w:val="nil"/>
          <w:insideV w:val="nil"/>
        </w:tcBorders>
        <w:shd w:val="clear" w:color="auto" w:fill="B65608"/>
      </w:tcPr>
    </w:tblStylePr>
    <w:tblStylePr w:type="band1Vert">
      <w:tblPr/>
      <w:tcPr>
        <w:shd w:val="clear" w:color="auto" w:fill="FBD4B4"/>
      </w:tcPr>
    </w:tblStylePr>
    <w:tblStylePr w:type="band1Horz">
      <w:tblPr/>
      <w:tcPr>
        <w:shd w:val="clear" w:color="auto" w:fill="FBCAA2"/>
      </w:tcPr>
    </w:tblStylePr>
    <w:tblStylePr w:type="neCell">
      <w:rPr>
        <w:color w:val="000000"/>
      </w:rPr>
    </w:tblStylePr>
    <w:tblStylePr w:type="nwCell">
      <w:rPr>
        <w:color w:val="000000"/>
      </w:rPr>
    </w:tblStylePr>
  </w:style>
  <w:style w:type="character" w:styleId="CommentReference">
    <w:name w:val="annotation reference"/>
    <w:uiPriority w:val="99"/>
    <w:rPr>
      <w:sz w:val="16"/>
      <w:szCs w:val="16"/>
    </w:rPr>
  </w:style>
  <w:style w:type="paragraph" w:styleId="CommentText">
    <w:name w:val="annotation text"/>
    <w:basedOn w:val="Normal"/>
    <w:link w:val="CommentTextChar"/>
    <w:uiPriority w:val="99"/>
    <w:rPr>
      <w:sz w:val="20"/>
    </w:rPr>
  </w:style>
  <w:style w:type="character" w:customStyle="1" w:styleId="CommentTextChar">
    <w:name w:val="Comment Text Char"/>
    <w:link w:val="CommentText"/>
    <w:uiPriority w:val="99"/>
    <w:rPr>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table" w:styleId="DarkList">
    <w:name w:val="Dark List"/>
    <w:basedOn w:val="TableNormal"/>
    <w:uiPriority w:val="70"/>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rPr>
      <w:color w:val="FFFFFF"/>
    </w:rPr>
    <w:tblPr>
      <w:tblStyleRowBandSize w:val="1"/>
      <w:tblStyleColBandSize w:val="1"/>
    </w:tblPr>
    <w:tcPr>
      <w:shd w:val="clear" w:color="auto" w:fill="4F81B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43F60"/>
      </w:tcPr>
    </w:tblStylePr>
    <w:tblStylePr w:type="firstCol">
      <w:tblPr/>
      <w:tcPr>
        <w:tcBorders>
          <w:top w:val="nil"/>
          <w:left w:val="nil"/>
          <w:bottom w:val="nil"/>
          <w:right w:val="single" w:sz="18" w:space="0" w:color="FFFFFF"/>
          <w:insideH w:val="nil"/>
          <w:insideV w:val="nil"/>
        </w:tcBorders>
        <w:shd w:val="clear" w:color="auto" w:fill="365F91"/>
      </w:tcPr>
    </w:tblStylePr>
    <w:tblStylePr w:type="lastCol">
      <w:tblPr/>
      <w:tcPr>
        <w:tcBorders>
          <w:top w:val="nil"/>
          <w:left w:val="single" w:sz="18" w:space="0" w:color="FFFFFF"/>
          <w:bottom w:val="nil"/>
          <w:right w:val="nil"/>
          <w:insideH w:val="nil"/>
          <w:insideV w:val="nil"/>
        </w:tcBorders>
        <w:shd w:val="clear" w:color="auto" w:fill="365F91"/>
      </w:tcPr>
    </w:tblStylePr>
    <w:tblStylePr w:type="band1Vert">
      <w:tblPr/>
      <w:tcPr>
        <w:tcBorders>
          <w:top w:val="nil"/>
          <w:left w:val="nil"/>
          <w:bottom w:val="nil"/>
          <w:right w:val="nil"/>
          <w:insideH w:val="nil"/>
          <w:insideV w:val="nil"/>
        </w:tcBorders>
        <w:shd w:val="clear" w:color="auto" w:fill="365F91"/>
      </w:tcPr>
    </w:tblStylePr>
    <w:tblStylePr w:type="band1Horz">
      <w:tblPr/>
      <w:tcPr>
        <w:tcBorders>
          <w:top w:val="nil"/>
          <w:left w:val="nil"/>
          <w:bottom w:val="nil"/>
          <w:right w:val="nil"/>
          <w:insideH w:val="nil"/>
          <w:insideV w:val="nil"/>
        </w:tcBorders>
        <w:shd w:val="clear" w:color="auto" w:fill="365F91"/>
      </w:tcPr>
    </w:tblStylePr>
  </w:style>
  <w:style w:type="table" w:styleId="DarkList-Accent2">
    <w:name w:val="Dark List Accent 2"/>
    <w:basedOn w:val="TableNormal"/>
    <w:uiPriority w:val="70"/>
    <w:rPr>
      <w:color w:val="FFFFFF"/>
    </w:rPr>
    <w:tblPr>
      <w:tblStyleRowBandSize w:val="1"/>
      <w:tblStyleColBandSize w:val="1"/>
    </w:tblPr>
    <w:tcPr>
      <w:shd w:val="clear" w:color="auto" w:fill="C0504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622423"/>
      </w:tcPr>
    </w:tblStylePr>
    <w:tblStylePr w:type="firstCol">
      <w:tblPr/>
      <w:tcPr>
        <w:tcBorders>
          <w:top w:val="nil"/>
          <w:left w:val="nil"/>
          <w:bottom w:val="nil"/>
          <w:right w:val="single" w:sz="18" w:space="0" w:color="FFFFFF"/>
          <w:insideH w:val="nil"/>
          <w:insideV w:val="nil"/>
        </w:tcBorders>
        <w:shd w:val="clear" w:color="auto" w:fill="943634"/>
      </w:tcPr>
    </w:tblStylePr>
    <w:tblStylePr w:type="lastCol">
      <w:tblPr/>
      <w:tcPr>
        <w:tcBorders>
          <w:top w:val="nil"/>
          <w:left w:val="single" w:sz="18" w:space="0" w:color="FFFFFF"/>
          <w:bottom w:val="nil"/>
          <w:right w:val="nil"/>
          <w:insideH w:val="nil"/>
          <w:insideV w:val="nil"/>
        </w:tcBorders>
        <w:shd w:val="clear" w:color="auto" w:fill="943634"/>
      </w:tcPr>
    </w:tblStylePr>
    <w:tblStylePr w:type="band1Vert">
      <w:tblPr/>
      <w:tcPr>
        <w:tcBorders>
          <w:top w:val="nil"/>
          <w:left w:val="nil"/>
          <w:bottom w:val="nil"/>
          <w:right w:val="nil"/>
          <w:insideH w:val="nil"/>
          <w:insideV w:val="nil"/>
        </w:tcBorders>
        <w:shd w:val="clear" w:color="auto" w:fill="943634"/>
      </w:tcPr>
    </w:tblStylePr>
    <w:tblStylePr w:type="band1Horz">
      <w:tblPr/>
      <w:tcPr>
        <w:tcBorders>
          <w:top w:val="nil"/>
          <w:left w:val="nil"/>
          <w:bottom w:val="nil"/>
          <w:right w:val="nil"/>
          <w:insideH w:val="nil"/>
          <w:insideV w:val="nil"/>
        </w:tcBorders>
        <w:shd w:val="clear" w:color="auto" w:fill="943634"/>
      </w:tcPr>
    </w:tblStylePr>
  </w:style>
  <w:style w:type="table" w:styleId="DarkList-Accent3">
    <w:name w:val="Dark List Accent 3"/>
    <w:basedOn w:val="TableNormal"/>
    <w:uiPriority w:val="70"/>
    <w:rPr>
      <w:color w:val="FFFFFF"/>
    </w:rPr>
    <w:tblPr>
      <w:tblStyleRowBandSize w:val="1"/>
      <w:tblStyleColBandSize w:val="1"/>
    </w:tblPr>
    <w:tcPr>
      <w:shd w:val="clear" w:color="auto" w:fill="9BBB59"/>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4E6128"/>
      </w:tcPr>
    </w:tblStylePr>
    <w:tblStylePr w:type="firstCol">
      <w:tblPr/>
      <w:tcPr>
        <w:tcBorders>
          <w:top w:val="nil"/>
          <w:left w:val="nil"/>
          <w:bottom w:val="nil"/>
          <w:right w:val="single" w:sz="18" w:space="0" w:color="FFFFFF"/>
          <w:insideH w:val="nil"/>
          <w:insideV w:val="nil"/>
        </w:tcBorders>
        <w:shd w:val="clear" w:color="auto" w:fill="76923C"/>
      </w:tcPr>
    </w:tblStylePr>
    <w:tblStylePr w:type="lastCol">
      <w:tblPr/>
      <w:tcPr>
        <w:tcBorders>
          <w:top w:val="nil"/>
          <w:left w:val="single" w:sz="18" w:space="0" w:color="FFFFFF"/>
          <w:bottom w:val="nil"/>
          <w:right w:val="nil"/>
          <w:insideH w:val="nil"/>
          <w:insideV w:val="nil"/>
        </w:tcBorders>
        <w:shd w:val="clear" w:color="auto" w:fill="76923C"/>
      </w:tcPr>
    </w:tblStylePr>
    <w:tblStylePr w:type="band1Vert">
      <w:tblPr/>
      <w:tcPr>
        <w:tcBorders>
          <w:top w:val="nil"/>
          <w:left w:val="nil"/>
          <w:bottom w:val="nil"/>
          <w:right w:val="nil"/>
          <w:insideH w:val="nil"/>
          <w:insideV w:val="nil"/>
        </w:tcBorders>
        <w:shd w:val="clear" w:color="auto" w:fill="76923C"/>
      </w:tcPr>
    </w:tblStylePr>
    <w:tblStylePr w:type="band1Horz">
      <w:tblPr/>
      <w:tcPr>
        <w:tcBorders>
          <w:top w:val="nil"/>
          <w:left w:val="nil"/>
          <w:bottom w:val="nil"/>
          <w:right w:val="nil"/>
          <w:insideH w:val="nil"/>
          <w:insideV w:val="nil"/>
        </w:tcBorders>
        <w:shd w:val="clear" w:color="auto" w:fill="76923C"/>
      </w:tcPr>
    </w:tblStylePr>
  </w:style>
  <w:style w:type="table" w:styleId="DarkList-Accent4">
    <w:name w:val="Dark List Accent 4"/>
    <w:basedOn w:val="TableNormal"/>
    <w:uiPriority w:val="70"/>
    <w:rPr>
      <w:color w:val="FFFFFF"/>
    </w:rPr>
    <w:tblPr>
      <w:tblStyleRowBandSize w:val="1"/>
      <w:tblStyleColBandSize w:val="1"/>
    </w:tblPr>
    <w:tcPr>
      <w:shd w:val="clear" w:color="auto" w:fill="8064A2"/>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F3151"/>
      </w:tcPr>
    </w:tblStylePr>
    <w:tblStylePr w:type="firstCol">
      <w:tblPr/>
      <w:tcPr>
        <w:tcBorders>
          <w:top w:val="nil"/>
          <w:left w:val="nil"/>
          <w:bottom w:val="nil"/>
          <w:right w:val="single" w:sz="18" w:space="0" w:color="FFFFFF"/>
          <w:insideH w:val="nil"/>
          <w:insideV w:val="nil"/>
        </w:tcBorders>
        <w:shd w:val="clear" w:color="auto" w:fill="5F497A"/>
      </w:tcPr>
    </w:tblStylePr>
    <w:tblStylePr w:type="lastCol">
      <w:tblPr/>
      <w:tcPr>
        <w:tcBorders>
          <w:top w:val="nil"/>
          <w:left w:val="single" w:sz="18" w:space="0" w:color="FFFFFF"/>
          <w:bottom w:val="nil"/>
          <w:right w:val="nil"/>
          <w:insideH w:val="nil"/>
          <w:insideV w:val="nil"/>
        </w:tcBorders>
        <w:shd w:val="clear" w:color="auto" w:fill="5F497A"/>
      </w:tcPr>
    </w:tblStylePr>
    <w:tblStylePr w:type="band1Vert">
      <w:tblPr/>
      <w:tcPr>
        <w:tcBorders>
          <w:top w:val="nil"/>
          <w:left w:val="nil"/>
          <w:bottom w:val="nil"/>
          <w:right w:val="nil"/>
          <w:insideH w:val="nil"/>
          <w:insideV w:val="nil"/>
        </w:tcBorders>
        <w:shd w:val="clear" w:color="auto" w:fill="5F497A"/>
      </w:tcPr>
    </w:tblStylePr>
    <w:tblStylePr w:type="band1Horz">
      <w:tblPr/>
      <w:tcPr>
        <w:tcBorders>
          <w:top w:val="nil"/>
          <w:left w:val="nil"/>
          <w:bottom w:val="nil"/>
          <w:right w:val="nil"/>
          <w:insideH w:val="nil"/>
          <w:insideV w:val="nil"/>
        </w:tcBorders>
        <w:shd w:val="clear" w:color="auto" w:fill="5F497A"/>
      </w:tcPr>
    </w:tblStylePr>
  </w:style>
  <w:style w:type="table" w:styleId="DarkList-Accent5">
    <w:name w:val="Dark List Accent 5"/>
    <w:basedOn w:val="TableNormal"/>
    <w:uiPriority w:val="70"/>
    <w:rPr>
      <w:color w:val="FFFFFF"/>
    </w:rPr>
    <w:tblPr>
      <w:tblStyleRowBandSize w:val="1"/>
      <w:tblStyleColBandSize w:val="1"/>
    </w:tblPr>
    <w:tcPr>
      <w:shd w:val="clear" w:color="auto" w:fill="4BACC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05867"/>
      </w:tcPr>
    </w:tblStylePr>
    <w:tblStylePr w:type="firstCol">
      <w:tblPr/>
      <w:tcPr>
        <w:tcBorders>
          <w:top w:val="nil"/>
          <w:left w:val="nil"/>
          <w:bottom w:val="nil"/>
          <w:right w:val="single" w:sz="18" w:space="0" w:color="FFFFFF"/>
          <w:insideH w:val="nil"/>
          <w:insideV w:val="nil"/>
        </w:tcBorders>
        <w:shd w:val="clear" w:color="auto" w:fill="31849B"/>
      </w:tcPr>
    </w:tblStylePr>
    <w:tblStylePr w:type="lastCol">
      <w:tblPr/>
      <w:tcPr>
        <w:tcBorders>
          <w:top w:val="nil"/>
          <w:left w:val="single" w:sz="18" w:space="0" w:color="FFFFFF"/>
          <w:bottom w:val="nil"/>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styleId="DarkList-Accent6">
    <w:name w:val="Dark List Accent 6"/>
    <w:basedOn w:val="TableNormal"/>
    <w:uiPriority w:val="70"/>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styleId="Date">
    <w:name w:val="Date"/>
    <w:basedOn w:val="Normal"/>
    <w:next w:val="Normal"/>
    <w:link w:val="DateChar"/>
  </w:style>
  <w:style w:type="character" w:customStyle="1" w:styleId="DateChar">
    <w:name w:val="Date Char"/>
    <w:link w:val="Date"/>
    <w:rPr>
      <w:sz w:val="22"/>
      <w:lang w:eastAsia="en-US"/>
    </w:rPr>
  </w:style>
  <w:style w:type="paragraph" w:styleId="DocumentMap">
    <w:name w:val="Document Map"/>
    <w:basedOn w:val="Normal"/>
    <w:link w:val="DocumentMapChar"/>
    <w:rPr>
      <w:rFonts w:ascii="Tahoma" w:hAnsi="Tahoma" w:cs="Tahoma"/>
      <w:sz w:val="16"/>
      <w:szCs w:val="16"/>
    </w:rPr>
  </w:style>
  <w:style w:type="character" w:customStyle="1" w:styleId="DocumentMapChar">
    <w:name w:val="Document Map Char"/>
    <w:link w:val="DocumentMap"/>
    <w:rPr>
      <w:rFonts w:ascii="Tahoma" w:hAnsi="Tahoma" w:cs="Tahoma"/>
      <w:sz w:val="16"/>
      <w:szCs w:val="16"/>
      <w:lang w:eastAsia="en-US"/>
    </w:rPr>
  </w:style>
  <w:style w:type="paragraph" w:styleId="E-mailSignature">
    <w:name w:val="E-mail Signature"/>
    <w:basedOn w:val="Normal"/>
    <w:link w:val="E-mailSignatureChar"/>
  </w:style>
  <w:style w:type="character" w:customStyle="1" w:styleId="E-mailSignatureChar">
    <w:name w:val="E-mail Signature Char"/>
    <w:link w:val="E-mailSignature"/>
    <w:rPr>
      <w:sz w:val="22"/>
      <w:lang w:eastAsia="en-US"/>
    </w:rPr>
  </w:style>
  <w:style w:type="character" w:styleId="Emphasis">
    <w:name w:val="Emphasis"/>
    <w:qFormat/>
    <w:rPr>
      <w:i/>
      <w:iCs/>
    </w:rPr>
  </w:style>
  <w:style w:type="paragraph" w:styleId="EnvelopeAddress">
    <w:name w:val="envelope address"/>
    <w:basedOn w:val="Normal"/>
    <w:pPr>
      <w:framePr w:w="7920" w:h="1980" w:hRule="exact" w:hSpace="180" w:wrap="auto" w:hAnchor="page" w:xAlign="center" w:yAlign="bottom"/>
      <w:ind w:left="2880"/>
    </w:pPr>
    <w:rPr>
      <w:rFonts w:ascii="Cambria" w:hAnsi="Cambria"/>
      <w:sz w:val="24"/>
      <w:szCs w:val="24"/>
    </w:rPr>
  </w:style>
  <w:style w:type="paragraph" w:styleId="EnvelopeReturn">
    <w:name w:val="envelope return"/>
    <w:basedOn w:val="Normal"/>
    <w:rPr>
      <w:rFonts w:ascii="Cambria" w:hAnsi="Cambria"/>
      <w:sz w:val="20"/>
    </w:rPr>
  </w:style>
  <w:style w:type="character" w:styleId="FollowedHyperlink">
    <w:name w:val="FollowedHyperlink"/>
    <w:uiPriority w:val="99"/>
    <w:rPr>
      <w:color w:val="800080"/>
      <w:u w:val="single"/>
    </w:rPr>
  </w:style>
  <w:style w:type="character" w:styleId="HTMLAcronym">
    <w:name w:val="HTML Acronym"/>
  </w:style>
  <w:style w:type="paragraph" w:styleId="HTMLAddress">
    <w:name w:val="HTML Address"/>
    <w:basedOn w:val="Normal"/>
    <w:link w:val="HTMLAddressChar"/>
    <w:rPr>
      <w:i/>
      <w:iCs/>
    </w:rPr>
  </w:style>
  <w:style w:type="character" w:customStyle="1" w:styleId="HTMLAddressChar">
    <w:name w:val="HTML Address Char"/>
    <w:link w:val="HTMLAddress"/>
    <w:rPr>
      <w:i/>
      <w:iCs/>
      <w:sz w:val="22"/>
      <w:lang w:eastAsia="en-US"/>
    </w:rPr>
  </w:style>
  <w:style w:type="character" w:styleId="HTMLCite">
    <w:name w:val="HTML Cite"/>
    <w:rPr>
      <w:i/>
      <w:iCs/>
    </w:rPr>
  </w:style>
  <w:style w:type="character" w:styleId="HTMLCode">
    <w:name w:val="HTML Code"/>
    <w:rPr>
      <w:rFonts w:ascii="Courier New" w:hAnsi="Courier New" w:cs="Courier New"/>
      <w:sz w:val="20"/>
      <w:szCs w:val="20"/>
    </w:rPr>
  </w:style>
  <w:style w:type="character" w:styleId="HTMLDefinition">
    <w:name w:val="HTML Definition"/>
    <w:rPr>
      <w:i/>
      <w:iCs/>
    </w:rPr>
  </w:style>
  <w:style w:type="character" w:styleId="HTMLKeyboard">
    <w:name w:val="HTML Keyboard"/>
    <w:rPr>
      <w:rFonts w:ascii="Courier New" w:hAnsi="Courier New" w:cs="Courier New"/>
      <w:sz w:val="20"/>
      <w:szCs w:val="20"/>
    </w:rPr>
  </w:style>
  <w:style w:type="paragraph" w:styleId="HTMLPreformatted">
    <w:name w:val="HTML Preformatted"/>
    <w:basedOn w:val="Normal"/>
    <w:link w:val="HTMLPreformattedChar"/>
    <w:rPr>
      <w:rFonts w:ascii="Courier New" w:hAnsi="Courier New" w:cs="Courier New"/>
      <w:sz w:val="20"/>
    </w:rPr>
  </w:style>
  <w:style w:type="character" w:customStyle="1" w:styleId="HTMLPreformattedChar">
    <w:name w:val="HTML Preformatted Char"/>
    <w:link w:val="HTMLPreformatted"/>
    <w:rPr>
      <w:rFonts w:ascii="Courier New" w:hAnsi="Courier New" w:cs="Courier New"/>
      <w:lang w:eastAsia="en-US"/>
    </w:rPr>
  </w:style>
  <w:style w:type="character" w:styleId="HTMLSample">
    <w:name w:val="HTML Sample"/>
    <w:rPr>
      <w:rFonts w:ascii="Courier New" w:hAnsi="Courier New" w:cs="Courier New"/>
    </w:rPr>
  </w:style>
  <w:style w:type="character" w:styleId="HTMLTypewriter">
    <w:name w:val="HTML Typewriter"/>
    <w:rPr>
      <w:rFonts w:ascii="Courier New" w:hAnsi="Courier New" w:cs="Courier New"/>
      <w:sz w:val="20"/>
      <w:szCs w:val="20"/>
    </w:rPr>
  </w:style>
  <w:style w:type="character" w:styleId="HTMLVariable">
    <w:name w:val="HTML Variable"/>
    <w:rPr>
      <w:i/>
      <w:iCs/>
    </w:rPr>
  </w:style>
  <w:style w:type="character" w:styleId="Hyperlink">
    <w:name w:val="Hyperlink"/>
    <w:uiPriority w:val="99"/>
    <w:rPr>
      <w:color w:val="0000FF"/>
      <w:u w:val="single"/>
    </w:rPr>
  </w:style>
  <w:style w:type="paragraph" w:styleId="Index1">
    <w:name w:val="index 1"/>
    <w:basedOn w:val="Normal"/>
    <w:next w:val="Normal"/>
    <w:autoRedefine/>
    <w:pPr>
      <w:ind w:left="220" w:hanging="220"/>
    </w:pPr>
  </w:style>
  <w:style w:type="paragraph" w:styleId="Index2">
    <w:name w:val="index 2"/>
    <w:basedOn w:val="Normal"/>
    <w:next w:val="Normal"/>
    <w:autoRedefine/>
    <w:pPr>
      <w:ind w:left="440" w:hanging="220"/>
    </w:pPr>
  </w:style>
  <w:style w:type="paragraph" w:styleId="Index3">
    <w:name w:val="index 3"/>
    <w:basedOn w:val="Normal"/>
    <w:next w:val="Normal"/>
    <w:autoRedefine/>
    <w:pPr>
      <w:ind w:left="660" w:hanging="220"/>
    </w:pPr>
  </w:style>
  <w:style w:type="paragraph" w:styleId="Index4">
    <w:name w:val="index 4"/>
    <w:basedOn w:val="Normal"/>
    <w:next w:val="Normal"/>
    <w:autoRedefine/>
    <w:pPr>
      <w:ind w:left="880" w:hanging="220"/>
    </w:pPr>
  </w:style>
  <w:style w:type="paragraph" w:styleId="Index5">
    <w:name w:val="index 5"/>
    <w:basedOn w:val="Normal"/>
    <w:next w:val="Normal"/>
    <w:autoRedefine/>
    <w:pPr>
      <w:ind w:left="1100" w:hanging="220"/>
    </w:pPr>
  </w:style>
  <w:style w:type="paragraph" w:styleId="Index6">
    <w:name w:val="index 6"/>
    <w:basedOn w:val="Normal"/>
    <w:next w:val="Normal"/>
    <w:autoRedefine/>
    <w:pPr>
      <w:ind w:left="1320" w:hanging="220"/>
    </w:pPr>
  </w:style>
  <w:style w:type="paragraph" w:styleId="Index7">
    <w:name w:val="index 7"/>
    <w:basedOn w:val="Normal"/>
    <w:next w:val="Normal"/>
    <w:autoRedefine/>
    <w:pPr>
      <w:ind w:left="1540" w:hanging="220"/>
    </w:pPr>
  </w:style>
  <w:style w:type="paragraph" w:styleId="Index8">
    <w:name w:val="index 8"/>
    <w:basedOn w:val="Normal"/>
    <w:next w:val="Normal"/>
    <w:autoRedefine/>
    <w:pPr>
      <w:ind w:left="1760" w:hanging="220"/>
    </w:pPr>
  </w:style>
  <w:style w:type="paragraph" w:styleId="Index9">
    <w:name w:val="index 9"/>
    <w:basedOn w:val="Normal"/>
    <w:next w:val="Normal"/>
    <w:autoRedefine/>
    <w:pPr>
      <w:ind w:left="1980" w:hanging="220"/>
    </w:pPr>
  </w:style>
  <w:style w:type="paragraph" w:styleId="IndexHeading">
    <w:name w:val="index heading"/>
    <w:basedOn w:val="Normal"/>
    <w:next w:val="Index1"/>
    <w:rPr>
      <w:rFonts w:ascii="Cambria" w:hAnsi="Cambria"/>
      <w:b/>
      <w:bCs/>
    </w:rPr>
  </w:style>
  <w:style w:type="character" w:styleId="IntenseEmphasis">
    <w:name w:val="Intense Emphasis"/>
    <w:uiPriority w:val="21"/>
    <w:qFormat/>
    <w:rPr>
      <w:b/>
      <w:bCs/>
      <w:i/>
      <w:iCs/>
      <w:color w:val="4F81BD"/>
    </w:rPr>
  </w:style>
  <w:style w:type="paragraph" w:styleId="IntenseQuote">
    <w:name w:val="Intense Quote"/>
    <w:basedOn w:val="Normal"/>
    <w:next w:val="Normal"/>
    <w:link w:val="IntenseQuoteChar"/>
    <w:uiPriority w:val="30"/>
    <w:qFormat/>
    <w:pPr>
      <w:pBdr>
        <w:bottom w:val="single" w:sz="4" w:space="4" w:color="4F81BD"/>
      </w:pBdr>
      <w:spacing w:before="200" w:after="280"/>
      <w:ind w:left="936" w:right="936"/>
    </w:pPr>
    <w:rPr>
      <w:b/>
      <w:bCs/>
      <w:i/>
      <w:iCs/>
      <w:color w:val="4F81BD"/>
    </w:rPr>
  </w:style>
  <w:style w:type="character" w:customStyle="1" w:styleId="IntenseQuoteChar">
    <w:name w:val="Intense Quote Char"/>
    <w:link w:val="IntenseQuote"/>
    <w:uiPriority w:val="30"/>
    <w:rPr>
      <w:b/>
      <w:bCs/>
      <w:i/>
      <w:iCs/>
      <w:color w:val="4F81BD"/>
      <w:sz w:val="22"/>
      <w:lang w:eastAsia="en-US"/>
    </w:rPr>
  </w:style>
  <w:style w:type="character" w:styleId="IntenseReference">
    <w:name w:val="Intense Reference"/>
    <w:uiPriority w:val="32"/>
    <w:qFormat/>
    <w:rPr>
      <w:b/>
      <w:bCs/>
      <w:smallCaps/>
      <w:color w:val="C0504D"/>
      <w:spacing w:val="5"/>
      <w:u w:val="single"/>
    </w:rPr>
  </w:style>
  <w:style w:type="table" w:styleId="LightGrid">
    <w:name w:val="Light Grid"/>
    <w:basedOn w:val="TableNormal"/>
    <w:uiPriority w:val="62"/>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LightGrid-Accent1">
    <w:name w:val="Light Grid Accent 1"/>
    <w:basedOn w:val="TableNormal"/>
    <w:uiPriority w:val="62"/>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libri Light" w:eastAsia="Times New Roman" w:hAnsi="Calibri Light"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styleId="LightGrid-Accent2">
    <w:name w:val="Light Grid Accent 2"/>
    <w:basedOn w:val="TableNormal"/>
    <w:uiPriority w:val="62"/>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blStylePr w:type="firstRow">
      <w:pPr>
        <w:spacing w:before="0" w:after="0" w:line="240" w:lineRule="auto"/>
      </w:pPr>
      <w:rPr>
        <w:rFonts w:ascii="Calibri Light" w:eastAsia="Times New Roman" w:hAnsi="Calibri Light" w:cs="Times New Roman"/>
        <w:b/>
        <w:bCs/>
      </w:rPr>
      <w:tblPr/>
      <w:tcPr>
        <w:tcBorders>
          <w:top w:val="single" w:sz="8" w:space="0" w:color="C0504D"/>
          <w:left w:val="single" w:sz="8" w:space="0" w:color="C0504D"/>
          <w:bottom w:val="single" w:sz="18" w:space="0" w:color="C0504D"/>
          <w:right w:val="single" w:sz="8" w:space="0" w:color="C0504D"/>
          <w:insideH w:val="nil"/>
          <w:insideV w:val="single" w:sz="8" w:space="0" w:color="C0504D"/>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C0504D"/>
          <w:left w:val="single" w:sz="8" w:space="0" w:color="C0504D"/>
          <w:bottom w:val="single" w:sz="8" w:space="0" w:color="C0504D"/>
          <w:right w:val="single" w:sz="8" w:space="0" w:color="C0504D"/>
          <w:insideH w:val="nil"/>
          <w:insideV w:val="single" w:sz="8" w:space="0" w:color="C0504D"/>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C0504D"/>
          <w:left w:val="single" w:sz="8" w:space="0" w:color="C0504D"/>
          <w:bottom w:val="single" w:sz="8" w:space="0" w:color="C0504D"/>
          <w:right w:val="single" w:sz="8" w:space="0" w:color="C0504D"/>
        </w:tcBorders>
      </w:tcPr>
    </w:tblStylePr>
    <w:tblStylePr w:type="band1Vert">
      <w:tblPr/>
      <w:tcPr>
        <w:tcBorders>
          <w:top w:val="single" w:sz="8" w:space="0" w:color="C0504D"/>
          <w:left w:val="single" w:sz="8" w:space="0" w:color="C0504D"/>
          <w:bottom w:val="single" w:sz="8" w:space="0" w:color="C0504D"/>
          <w:right w:val="single" w:sz="8" w:space="0" w:color="C0504D"/>
        </w:tcBorders>
        <w:shd w:val="clear" w:color="auto" w:fill="EFD3D2"/>
      </w:tcPr>
    </w:tblStylePr>
    <w:tblStylePr w:type="band1Horz">
      <w:tblPr/>
      <w:tcPr>
        <w:tcBorders>
          <w:top w:val="single" w:sz="8" w:space="0" w:color="C0504D"/>
          <w:left w:val="single" w:sz="8" w:space="0" w:color="C0504D"/>
          <w:bottom w:val="single" w:sz="8" w:space="0" w:color="C0504D"/>
          <w:right w:val="single" w:sz="8" w:space="0" w:color="C0504D"/>
          <w:insideV w:val="single" w:sz="8" w:space="0" w:color="C0504D"/>
        </w:tcBorders>
        <w:shd w:val="clear" w:color="auto" w:fill="EFD3D2"/>
      </w:tcPr>
    </w:tblStylePr>
    <w:tblStylePr w:type="band2Horz">
      <w:tblPr/>
      <w:tcPr>
        <w:tcBorders>
          <w:top w:val="single" w:sz="8" w:space="0" w:color="C0504D"/>
          <w:left w:val="single" w:sz="8" w:space="0" w:color="C0504D"/>
          <w:bottom w:val="single" w:sz="8" w:space="0" w:color="C0504D"/>
          <w:right w:val="single" w:sz="8" w:space="0" w:color="C0504D"/>
          <w:insideV w:val="single" w:sz="8" w:space="0" w:color="C0504D"/>
        </w:tcBorders>
      </w:tcPr>
    </w:tblStylePr>
  </w:style>
  <w:style w:type="table" w:styleId="LightGrid-Accent3">
    <w:name w:val="Light Grid Accent 3"/>
    <w:basedOn w:val="TableNormal"/>
    <w:uiPriority w:val="62"/>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libri Light" w:eastAsia="Times New Roman" w:hAnsi="Calibri Light"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styleId="LightGrid-Accent4">
    <w:name w:val="Light Grid Accent 4"/>
    <w:basedOn w:val="TableNormal"/>
    <w:uiPriority w:val="62"/>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blStylePr w:type="firstRow">
      <w:pPr>
        <w:spacing w:before="0" w:after="0" w:line="240" w:lineRule="auto"/>
      </w:pPr>
      <w:rPr>
        <w:rFonts w:ascii="Calibri Light" w:eastAsia="Times New Roman" w:hAnsi="Calibri Light"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styleId="LightGrid-Accent5">
    <w:name w:val="Light Grid Accent 5"/>
    <w:basedOn w:val="TableNormal"/>
    <w:uiPriority w:val="62"/>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ascii="Calibri Light" w:eastAsia="Times New Roman" w:hAnsi="Calibri Light"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table" w:styleId="LightGrid-Accent6">
    <w:name w:val="Light Grid Accent 6"/>
    <w:basedOn w:val="TableNormal"/>
    <w:uiPriority w:val="62"/>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blStylePr w:type="firstRow">
      <w:pPr>
        <w:spacing w:before="0" w:after="0" w:line="240" w:lineRule="auto"/>
      </w:pPr>
      <w:rPr>
        <w:rFonts w:ascii="Calibri Light" w:eastAsia="Times New Roman" w:hAnsi="Calibri Light" w:cs="Times New Roman"/>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table" w:styleId="LightList">
    <w:name w:val="Light List"/>
    <w:basedOn w:val="TableNormal"/>
    <w:uiPriority w:val="61"/>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LightList-Accent2">
    <w:name w:val="Light List Accent 2"/>
    <w:basedOn w:val="TableNormal"/>
    <w:uiPriority w:val="61"/>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styleId="LightList-Accent3">
    <w:name w:val="Light List Accent 3"/>
    <w:basedOn w:val="TableNormal"/>
    <w:uiPriority w:val="61"/>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styleId="LightList-Accent4">
    <w:name w:val="Light List Accent 4"/>
    <w:basedOn w:val="TableNormal"/>
    <w:uiPriority w:val="61"/>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styleId="LightList-Accent5">
    <w:name w:val="Light List Accent 5"/>
    <w:basedOn w:val="TableNormal"/>
    <w:uiPriority w:val="61"/>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styleId="LightList-Accent6">
    <w:name w:val="Light List Accent 6"/>
    <w:basedOn w:val="TableNormal"/>
    <w:uiPriority w:val="61"/>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styleId="LightShading">
    <w:name w:val="Light Shading"/>
    <w:basedOn w:val="TableNormal"/>
    <w:uiPriority w:val="60"/>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LightShading-Accent2">
    <w:name w:val="Light Shading Accent 2"/>
    <w:basedOn w:val="TableNormal"/>
    <w:uiPriority w:val="60"/>
    <w:rPr>
      <w:color w:val="943634"/>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LightShading-Accent3">
    <w:name w:val="Light Shading Accent 3"/>
    <w:basedOn w:val="TableNormal"/>
    <w:uiPriority w:val="60"/>
    <w:rPr>
      <w:color w:val="76923C"/>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LightShading-Accent4">
    <w:name w:val="Light Shading Accent 4"/>
    <w:basedOn w:val="TableNormal"/>
    <w:uiPriority w:val="60"/>
    <w:rPr>
      <w:color w:val="5F497A"/>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LightShading-Accent5">
    <w:name w:val="Light Shading Accent 5"/>
    <w:basedOn w:val="TableNormal"/>
    <w:uiPriority w:val="60"/>
    <w:rPr>
      <w:color w:val="31849B"/>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LightShading-Accent6">
    <w:name w:val="Light Shading Accent 6"/>
    <w:basedOn w:val="TableNormal"/>
    <w:uiPriority w:val="60"/>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character" w:styleId="LineNumber">
    <w:name w:val="line number"/>
  </w:style>
  <w:style w:type="paragraph" w:styleId="List">
    <w:name w:val="List"/>
    <w:basedOn w:val="Normal"/>
    <w:pPr>
      <w:ind w:left="283" w:hanging="283"/>
      <w:contextualSpacing/>
    </w:pPr>
  </w:style>
  <w:style w:type="paragraph" w:styleId="List2">
    <w:name w:val="List 2"/>
    <w:basedOn w:val="Normal"/>
    <w:pPr>
      <w:ind w:left="566" w:hanging="283"/>
      <w:contextualSpacing/>
    </w:pPr>
  </w:style>
  <w:style w:type="paragraph" w:styleId="List3">
    <w:name w:val="List 3"/>
    <w:basedOn w:val="Normal"/>
    <w:pPr>
      <w:ind w:left="849" w:hanging="283"/>
      <w:contextualSpacing/>
    </w:pPr>
  </w:style>
  <w:style w:type="paragraph" w:styleId="List4">
    <w:name w:val="List 4"/>
    <w:basedOn w:val="Normal"/>
    <w:pPr>
      <w:ind w:left="1132" w:hanging="283"/>
      <w:contextualSpacing/>
    </w:pPr>
  </w:style>
  <w:style w:type="paragraph" w:styleId="List5">
    <w:name w:val="List 5"/>
    <w:basedOn w:val="Normal"/>
    <w:pPr>
      <w:ind w:left="1415" w:hanging="283"/>
      <w:contextualSpacing/>
    </w:pPr>
  </w:style>
  <w:style w:type="paragraph" w:styleId="ListContinue">
    <w:name w:val="List Continue"/>
    <w:basedOn w:val="Normal"/>
    <w:pPr>
      <w:spacing w:after="120"/>
      <w:ind w:left="283"/>
      <w:contextualSpacing/>
    </w:pPr>
  </w:style>
  <w:style w:type="paragraph" w:styleId="ListContinue2">
    <w:name w:val="List Continue 2"/>
    <w:basedOn w:val="Normal"/>
    <w:pPr>
      <w:spacing w:after="120"/>
      <w:ind w:left="566"/>
      <w:contextualSpacing/>
    </w:pPr>
  </w:style>
  <w:style w:type="paragraph" w:styleId="ListContinue3">
    <w:name w:val="List Continue 3"/>
    <w:basedOn w:val="Normal"/>
    <w:pPr>
      <w:spacing w:after="120"/>
      <w:ind w:left="849"/>
      <w:contextualSpacing/>
    </w:pPr>
  </w:style>
  <w:style w:type="paragraph" w:styleId="ListContinue4">
    <w:name w:val="List Continue 4"/>
    <w:basedOn w:val="Normal"/>
    <w:pPr>
      <w:spacing w:after="120"/>
      <w:ind w:left="1132"/>
      <w:contextualSpacing/>
    </w:pPr>
  </w:style>
  <w:style w:type="paragraph" w:styleId="ListContinue5">
    <w:name w:val="List Continue 5"/>
    <w:basedOn w:val="Normal"/>
    <w:pPr>
      <w:spacing w:after="120"/>
      <w:ind w:left="1415"/>
      <w:contextualSpacing/>
    </w:pPr>
  </w:style>
  <w:style w:type="paragraph" w:styleId="ListNumber">
    <w:name w:val="List Number"/>
    <w:basedOn w:val="Normal"/>
    <w:pPr>
      <w:tabs>
        <w:tab w:val="num" w:pos="720"/>
      </w:tabs>
      <w:ind w:left="720" w:hanging="720"/>
      <w:contextualSpacing/>
    </w:pPr>
  </w:style>
  <w:style w:type="paragraph" w:styleId="ListNumber2">
    <w:name w:val="List Number 2"/>
    <w:basedOn w:val="Normal"/>
    <w:pPr>
      <w:tabs>
        <w:tab w:val="num" w:pos="720"/>
      </w:tabs>
      <w:ind w:left="720" w:hanging="720"/>
      <w:contextualSpacing/>
    </w:pPr>
  </w:style>
  <w:style w:type="paragraph" w:styleId="ListNumber3">
    <w:name w:val="List Number 3"/>
    <w:basedOn w:val="Normal"/>
    <w:pPr>
      <w:tabs>
        <w:tab w:val="num" w:pos="720"/>
      </w:tabs>
      <w:ind w:left="720" w:hanging="720"/>
      <w:contextualSpacing/>
    </w:pPr>
  </w:style>
  <w:style w:type="paragraph" w:styleId="ListNumber4">
    <w:name w:val="List Number 4"/>
    <w:basedOn w:val="Normal"/>
    <w:pPr>
      <w:tabs>
        <w:tab w:val="num" w:pos="720"/>
      </w:tabs>
      <w:ind w:left="720" w:hanging="720"/>
      <w:contextualSpacing/>
    </w:pPr>
  </w:style>
  <w:style w:type="paragraph" w:styleId="ListNumber5">
    <w:name w:val="List Number 5"/>
    <w:basedOn w:val="Normal"/>
    <w:pPr>
      <w:tabs>
        <w:tab w:val="num" w:pos="720"/>
      </w:tabs>
      <w:ind w:left="720" w:hanging="720"/>
      <w:contextualSpacing/>
    </w:pPr>
  </w:style>
  <w:style w:type="paragraph" w:styleId="ListParagraph">
    <w:name w:val="List Paragraph"/>
    <w:basedOn w:val="Normal"/>
    <w:uiPriority w:val="99"/>
    <w:qFormat/>
    <w:pPr>
      <w:ind w:left="720"/>
    </w:pPr>
  </w:style>
  <w:style w:type="paragraph" w:styleId="MacroText">
    <w:name w:val="macro"/>
    <w:link w:val="MacroTextChar"/>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urier New" w:hAnsi="Courier New" w:cs="Courier New"/>
      <w:lang w:eastAsia="en-US"/>
    </w:rPr>
  </w:style>
  <w:style w:type="character" w:customStyle="1" w:styleId="MacroTextChar">
    <w:name w:val="Macro Text Char"/>
    <w:link w:val="MacroText"/>
    <w:rPr>
      <w:rFonts w:ascii="Courier New" w:hAnsi="Courier New" w:cs="Courier New"/>
      <w:lang w:eastAsia="en-US"/>
    </w:rPr>
  </w:style>
  <w:style w:type="table" w:styleId="MediumGrid1">
    <w:name w:val="Medium Grid 1"/>
    <w:basedOn w:val="TableNormal"/>
    <w:uiPriority w:val="67"/>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styleId="MediumGrid1-Accent2">
    <w:name w:val="Medium Grid 1 Accent 2"/>
    <w:basedOn w:val="TableNormal"/>
    <w:uiPriority w:val="67"/>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styleId="MediumGrid1-Accent3">
    <w:name w:val="Medium Grid 1 Accent 3"/>
    <w:basedOn w:val="TableNormal"/>
    <w:uiPriority w:val="67"/>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styleId="MediumGrid1-Accent4">
    <w:name w:val="Medium Grid 1 Accent 4"/>
    <w:basedOn w:val="TableNormal"/>
    <w:uiPriority w:val="67"/>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styleId="MediumGrid1-Accent5">
    <w:name w:val="Medium Grid 1 Accent 5"/>
    <w:basedOn w:val="TableNormal"/>
    <w:uiPriority w:val="67"/>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styleId="MediumGrid1-Accent6">
    <w:name w:val="Medium Grid 1 Accent 6"/>
    <w:basedOn w:val="TableNormal"/>
    <w:uiPriority w:val="67"/>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styleId="MediumGrid2">
    <w:name w:val="Medium Grid 2"/>
    <w:basedOn w:val="TableNormal"/>
    <w:uiPriority w:val="68"/>
    <w:rPr>
      <w:rFonts w:ascii="Cambria" w:hAnsi="Cambria"/>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rPr>
      <w:rFonts w:ascii="Cambria" w:hAnsi="Cambria"/>
      <w:color w:val="000000"/>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styleId="MediumGrid2-Accent2">
    <w:name w:val="Medium Grid 2 Accent 2"/>
    <w:basedOn w:val="TableNormal"/>
    <w:uiPriority w:val="68"/>
    <w:rPr>
      <w:rFonts w:ascii="Cambria" w:hAnsi="Cambria"/>
      <w:color w:val="000000"/>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cPr>
      <w:shd w:val="clear" w:color="auto" w:fill="EFD3D2"/>
    </w:tcPr>
    <w:tblStylePr w:type="firstRow">
      <w:rPr>
        <w:b/>
        <w:bCs/>
        <w:color w:val="000000"/>
      </w:rPr>
      <w:tblPr/>
      <w:tcPr>
        <w:shd w:val="clear" w:color="auto" w:fill="F8EDED"/>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2DBDB"/>
      </w:tcPr>
    </w:tblStylePr>
    <w:tblStylePr w:type="band1Vert">
      <w:tblPr/>
      <w:tcPr>
        <w:shd w:val="clear" w:color="auto" w:fill="DFA7A6"/>
      </w:tcPr>
    </w:tblStylePr>
    <w:tblStylePr w:type="band1Horz">
      <w:tblPr/>
      <w:tcPr>
        <w:tcBorders>
          <w:insideH w:val="single" w:sz="6" w:space="0" w:color="C0504D"/>
          <w:insideV w:val="single" w:sz="6" w:space="0" w:color="C0504D"/>
        </w:tcBorders>
        <w:shd w:val="clear" w:color="auto" w:fill="DFA7A6"/>
      </w:tcPr>
    </w:tblStylePr>
    <w:tblStylePr w:type="nwCell">
      <w:tblPr/>
      <w:tcPr>
        <w:shd w:val="clear" w:color="auto" w:fill="FFFFFF"/>
      </w:tcPr>
    </w:tblStylePr>
  </w:style>
  <w:style w:type="table" w:styleId="MediumGrid2-Accent3">
    <w:name w:val="Medium Grid 2 Accent 3"/>
    <w:basedOn w:val="TableNormal"/>
    <w:uiPriority w:val="68"/>
    <w:rPr>
      <w:rFonts w:ascii="Cambria" w:hAnsi="Cambria"/>
      <w:color w:val="000000"/>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cPr>
      <w:shd w:val="clear" w:color="auto" w:fill="E6EED5"/>
    </w:tcPr>
    <w:tblStylePr w:type="firstRow">
      <w:rPr>
        <w:b/>
        <w:bCs/>
        <w:color w:val="000000"/>
      </w:rPr>
      <w:tblPr/>
      <w:tcPr>
        <w:shd w:val="clear" w:color="auto" w:fill="F5F8EE"/>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AF1DD"/>
      </w:tcPr>
    </w:tblStylePr>
    <w:tblStylePr w:type="band1Vert">
      <w:tblPr/>
      <w:tcPr>
        <w:shd w:val="clear" w:color="auto" w:fill="CDDDAC"/>
      </w:tcPr>
    </w:tblStylePr>
    <w:tblStylePr w:type="band1Horz">
      <w:tblPr/>
      <w:tcPr>
        <w:tcBorders>
          <w:insideH w:val="single" w:sz="6" w:space="0" w:color="9BBB59"/>
          <w:insideV w:val="single" w:sz="6" w:space="0" w:color="9BBB59"/>
        </w:tcBorders>
        <w:shd w:val="clear" w:color="auto" w:fill="CDDDAC"/>
      </w:tcPr>
    </w:tblStylePr>
    <w:tblStylePr w:type="nwCell">
      <w:tblPr/>
      <w:tcPr>
        <w:shd w:val="clear" w:color="auto" w:fill="FFFFFF"/>
      </w:tcPr>
    </w:tblStylePr>
  </w:style>
  <w:style w:type="table" w:styleId="MediumGrid2-Accent4">
    <w:name w:val="Medium Grid 2 Accent 4"/>
    <w:basedOn w:val="TableNormal"/>
    <w:uiPriority w:val="68"/>
    <w:rPr>
      <w:rFonts w:ascii="Cambria" w:hAnsi="Cambria"/>
      <w:color w:val="000000"/>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cPr>
      <w:shd w:val="clear" w:color="auto" w:fill="DFD8E8"/>
    </w:tcPr>
    <w:tblStylePr w:type="firstRow">
      <w:rPr>
        <w:b/>
        <w:bCs/>
        <w:color w:val="000000"/>
      </w:rPr>
      <w:tblPr/>
      <w:tcPr>
        <w:shd w:val="clear" w:color="auto" w:fill="F2EF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shd w:val="clear" w:color="auto" w:fill="BFB1D0"/>
      </w:tcPr>
    </w:tblStylePr>
    <w:tblStylePr w:type="band1Horz">
      <w:tblPr/>
      <w:tcPr>
        <w:tcBorders>
          <w:insideH w:val="single" w:sz="6" w:space="0" w:color="8064A2"/>
          <w:insideV w:val="single" w:sz="6" w:space="0" w:color="8064A2"/>
        </w:tcBorders>
        <w:shd w:val="clear" w:color="auto" w:fill="BFB1D0"/>
      </w:tcPr>
    </w:tblStylePr>
    <w:tblStylePr w:type="nwCell">
      <w:tblPr/>
      <w:tcPr>
        <w:shd w:val="clear" w:color="auto" w:fill="FFFFFF"/>
      </w:tcPr>
    </w:tblStylePr>
  </w:style>
  <w:style w:type="table" w:styleId="MediumGrid2-Accent5">
    <w:name w:val="Medium Grid 2 Accent 5"/>
    <w:basedOn w:val="TableNormal"/>
    <w:uiPriority w:val="68"/>
    <w:rPr>
      <w:rFonts w:ascii="Cambria" w:hAnsi="Cambria"/>
      <w:color w:val="000000"/>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table" w:styleId="MediumGrid2-Accent6">
    <w:name w:val="Medium Grid 2 Accent 6"/>
    <w:basedOn w:val="TableNormal"/>
    <w:uiPriority w:val="68"/>
    <w:rPr>
      <w:rFonts w:ascii="Cambria" w:hAnsi="Cambria"/>
      <w:color w:val="000000"/>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color="F79646"/>
          <w:insideV w:val="single" w:sz="6" w:space="0" w:color="F79646"/>
        </w:tcBorders>
        <w:shd w:val="clear" w:color="auto" w:fill="FBCAA2"/>
      </w:tcPr>
    </w:tblStylePr>
    <w:tblStylePr w:type="nwCell">
      <w:tblPr/>
      <w:tcPr>
        <w:shd w:val="clear" w:color="auto" w:fill="FFFFFF"/>
      </w:tcPr>
    </w:tblStylePr>
  </w:style>
  <w:style w:type="table" w:styleId="MediumGrid3">
    <w:name w:val="Medium Grid 3"/>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MediumGrid3-Accent2">
    <w:name w:val="Medium Grid 3 Accent 2"/>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table" w:styleId="MediumGrid3-Accent3">
    <w:name w:val="Medium Grid 3 Accent 3"/>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MediumGrid3-Accent4">
    <w:name w:val="Medium Grid 3 Accent 4"/>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FB1D0"/>
      </w:tcPr>
    </w:tblStylePr>
  </w:style>
  <w:style w:type="table" w:styleId="MediumGrid3-Accent5">
    <w:name w:val="Medium Grid 3 Accent 5"/>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MediumGrid3-Accent6">
    <w:name w:val="Medium Grid 3 Accent 6"/>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DE4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7964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7964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7964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7964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BCAA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BCAA2"/>
      </w:tcPr>
    </w:tblStylePr>
  </w:style>
  <w:style w:type="table" w:styleId="MediumList1">
    <w:name w:val="Medium List 1"/>
    <w:basedOn w:val="TableNormal"/>
    <w:uiPriority w:val="65"/>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rPr>
      <w:color w:val="000000"/>
    </w:rPr>
    <w:tblPr>
      <w:tblStyleRowBandSize w:val="1"/>
      <w:tblStyleColBandSize w:val="1"/>
      <w:tblBorders>
        <w:top w:val="single" w:sz="8" w:space="0" w:color="4F81BD"/>
        <w:bottom w:val="single" w:sz="8" w:space="0" w:color="4F81BD"/>
      </w:tblBorders>
    </w:tblPr>
    <w:tblStylePr w:type="firstRow">
      <w:rPr>
        <w:rFonts w:ascii="Calibri Light" w:eastAsia="Times New Roman" w:hAnsi="Calibri Light"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styleId="MediumList1-Accent2">
    <w:name w:val="Medium List 1 Accent 2"/>
    <w:basedOn w:val="TableNormal"/>
    <w:uiPriority w:val="65"/>
    <w:rPr>
      <w:color w:val="000000"/>
    </w:rPr>
    <w:tblPr>
      <w:tblStyleRowBandSize w:val="1"/>
      <w:tblStyleColBandSize w:val="1"/>
      <w:tblBorders>
        <w:top w:val="single" w:sz="8" w:space="0" w:color="C0504D"/>
        <w:bottom w:val="single" w:sz="8" w:space="0" w:color="C0504D"/>
      </w:tblBorders>
    </w:tblPr>
    <w:tblStylePr w:type="firstRow">
      <w:rPr>
        <w:rFonts w:ascii="Calibri Light" w:eastAsia="Times New Roman" w:hAnsi="Calibri Light" w:cs="Times New Roman"/>
      </w:rPr>
      <w:tblPr/>
      <w:tcPr>
        <w:tcBorders>
          <w:top w:val="nil"/>
          <w:bottom w:val="single" w:sz="8" w:space="0" w:color="C0504D"/>
        </w:tcBorders>
      </w:tcPr>
    </w:tblStylePr>
    <w:tblStylePr w:type="lastRow">
      <w:rPr>
        <w:b/>
        <w:bCs/>
        <w:color w:val="1F497D"/>
      </w:rPr>
      <w:tblPr/>
      <w:tcPr>
        <w:tcBorders>
          <w:top w:val="single" w:sz="8" w:space="0" w:color="C0504D"/>
          <w:bottom w:val="single" w:sz="8" w:space="0" w:color="C0504D"/>
        </w:tcBorders>
      </w:tcPr>
    </w:tblStylePr>
    <w:tblStylePr w:type="firstCol">
      <w:rPr>
        <w:b/>
        <w:bCs/>
      </w:rPr>
    </w:tblStylePr>
    <w:tblStylePr w:type="lastCol">
      <w:rPr>
        <w:b/>
        <w:bCs/>
      </w:rPr>
      <w:tblPr/>
      <w:tcPr>
        <w:tcBorders>
          <w:top w:val="single" w:sz="8" w:space="0" w:color="C0504D"/>
          <w:bottom w:val="single" w:sz="8" w:space="0" w:color="C0504D"/>
        </w:tcBorders>
      </w:tcPr>
    </w:tblStylePr>
    <w:tblStylePr w:type="band1Vert">
      <w:tblPr/>
      <w:tcPr>
        <w:shd w:val="clear" w:color="auto" w:fill="EFD3D2"/>
      </w:tcPr>
    </w:tblStylePr>
    <w:tblStylePr w:type="band1Horz">
      <w:tblPr/>
      <w:tcPr>
        <w:shd w:val="clear" w:color="auto" w:fill="EFD3D2"/>
      </w:tcPr>
    </w:tblStylePr>
  </w:style>
  <w:style w:type="table" w:styleId="MediumList1-Accent3">
    <w:name w:val="Medium List 1 Accent 3"/>
    <w:basedOn w:val="TableNormal"/>
    <w:uiPriority w:val="65"/>
    <w:rPr>
      <w:color w:val="000000"/>
    </w:rPr>
    <w:tblPr>
      <w:tblStyleRowBandSize w:val="1"/>
      <w:tblStyleColBandSize w:val="1"/>
      <w:tblBorders>
        <w:top w:val="single" w:sz="8" w:space="0" w:color="9BBB59"/>
        <w:bottom w:val="single" w:sz="8" w:space="0" w:color="9BBB59"/>
      </w:tblBorders>
    </w:tblPr>
    <w:tblStylePr w:type="firstRow">
      <w:rPr>
        <w:rFonts w:ascii="Calibri Light" w:eastAsia="Times New Roman" w:hAnsi="Calibri Light" w:cs="Times New Roman"/>
      </w:rPr>
      <w:tblPr/>
      <w:tcPr>
        <w:tcBorders>
          <w:top w:val="nil"/>
          <w:bottom w:val="single" w:sz="8" w:space="0" w:color="9BBB59"/>
        </w:tcBorders>
      </w:tcPr>
    </w:tblStylePr>
    <w:tblStylePr w:type="lastRow">
      <w:rPr>
        <w:b/>
        <w:bCs/>
        <w:color w:val="1F497D"/>
      </w:rPr>
      <w:tblPr/>
      <w:tcPr>
        <w:tcBorders>
          <w:top w:val="single" w:sz="8" w:space="0" w:color="9BBB59"/>
          <w:bottom w:val="single" w:sz="8" w:space="0" w:color="9BBB59"/>
        </w:tcBorders>
      </w:tcPr>
    </w:tblStylePr>
    <w:tblStylePr w:type="firstCol">
      <w:rPr>
        <w:b/>
        <w:bCs/>
      </w:rPr>
    </w:tblStylePr>
    <w:tblStylePr w:type="lastCol">
      <w:rPr>
        <w:b/>
        <w:bCs/>
      </w:rPr>
      <w:tblPr/>
      <w:tcPr>
        <w:tcBorders>
          <w:top w:val="single" w:sz="8" w:space="0" w:color="9BBB59"/>
          <w:bottom w:val="single" w:sz="8" w:space="0" w:color="9BBB59"/>
        </w:tcBorders>
      </w:tcPr>
    </w:tblStylePr>
    <w:tblStylePr w:type="band1Vert">
      <w:tblPr/>
      <w:tcPr>
        <w:shd w:val="clear" w:color="auto" w:fill="E6EED5"/>
      </w:tcPr>
    </w:tblStylePr>
    <w:tblStylePr w:type="band1Horz">
      <w:tblPr/>
      <w:tcPr>
        <w:shd w:val="clear" w:color="auto" w:fill="E6EED5"/>
      </w:tcPr>
    </w:tblStylePr>
  </w:style>
  <w:style w:type="table" w:styleId="MediumList1-Accent4">
    <w:name w:val="Medium List 1 Accent 4"/>
    <w:basedOn w:val="TableNormal"/>
    <w:uiPriority w:val="65"/>
    <w:rPr>
      <w:color w:val="000000"/>
    </w:rPr>
    <w:tblPr>
      <w:tblStyleRowBandSize w:val="1"/>
      <w:tblStyleColBandSize w:val="1"/>
      <w:tblBorders>
        <w:top w:val="single" w:sz="8" w:space="0" w:color="8064A2"/>
        <w:bottom w:val="single" w:sz="8" w:space="0" w:color="8064A2"/>
      </w:tblBorders>
    </w:tblPr>
    <w:tblStylePr w:type="firstRow">
      <w:rPr>
        <w:rFonts w:ascii="Calibri Light" w:eastAsia="Times New Roman" w:hAnsi="Calibri Light" w:cs="Times New Roman"/>
      </w:rPr>
      <w:tblPr/>
      <w:tcPr>
        <w:tcBorders>
          <w:top w:val="nil"/>
          <w:bottom w:val="single" w:sz="8" w:space="0" w:color="8064A2"/>
        </w:tcBorders>
      </w:tcPr>
    </w:tblStylePr>
    <w:tblStylePr w:type="lastRow">
      <w:rPr>
        <w:b/>
        <w:bCs/>
        <w:color w:val="1F497D"/>
      </w:rPr>
      <w:tblPr/>
      <w:tcPr>
        <w:tcBorders>
          <w:top w:val="single" w:sz="8" w:space="0" w:color="8064A2"/>
          <w:bottom w:val="single" w:sz="8" w:space="0" w:color="8064A2"/>
        </w:tcBorders>
      </w:tcPr>
    </w:tblStylePr>
    <w:tblStylePr w:type="firstCol">
      <w:rPr>
        <w:b/>
        <w:bCs/>
      </w:rPr>
    </w:tblStylePr>
    <w:tblStylePr w:type="lastCol">
      <w:rPr>
        <w:b/>
        <w:bCs/>
      </w:rPr>
      <w:tblPr/>
      <w:tcPr>
        <w:tcBorders>
          <w:top w:val="single" w:sz="8" w:space="0" w:color="8064A2"/>
          <w:bottom w:val="single" w:sz="8" w:space="0" w:color="8064A2"/>
        </w:tcBorders>
      </w:tcPr>
    </w:tblStylePr>
    <w:tblStylePr w:type="band1Vert">
      <w:tblPr/>
      <w:tcPr>
        <w:shd w:val="clear" w:color="auto" w:fill="DFD8E8"/>
      </w:tcPr>
    </w:tblStylePr>
    <w:tblStylePr w:type="band1Horz">
      <w:tblPr/>
      <w:tcPr>
        <w:shd w:val="clear" w:color="auto" w:fill="DFD8E8"/>
      </w:tcPr>
    </w:tblStylePr>
  </w:style>
  <w:style w:type="table" w:styleId="MediumList1-Accent5">
    <w:name w:val="Medium List 1 Accent 5"/>
    <w:basedOn w:val="TableNormal"/>
    <w:uiPriority w:val="65"/>
    <w:rPr>
      <w:color w:val="000000"/>
    </w:rPr>
    <w:tblPr>
      <w:tblStyleRowBandSize w:val="1"/>
      <w:tblStyleColBandSize w:val="1"/>
      <w:tblBorders>
        <w:top w:val="single" w:sz="8" w:space="0" w:color="4BACC6"/>
        <w:bottom w:val="single" w:sz="8" w:space="0" w:color="4BACC6"/>
      </w:tblBorders>
    </w:tblPr>
    <w:tblStylePr w:type="firstRow">
      <w:rPr>
        <w:rFonts w:ascii="Calibri Light" w:eastAsia="Times New Roman" w:hAnsi="Calibri Light" w:cs="Times New Roman"/>
      </w:rPr>
      <w:tblPr/>
      <w:tcPr>
        <w:tcBorders>
          <w:top w:val="nil"/>
          <w:bottom w:val="single" w:sz="8" w:space="0" w:color="4BACC6"/>
        </w:tcBorders>
      </w:tcPr>
    </w:tblStylePr>
    <w:tblStylePr w:type="lastRow">
      <w:rPr>
        <w:b/>
        <w:bCs/>
        <w:color w:val="1F497D"/>
      </w:rPr>
      <w:tblPr/>
      <w:tcPr>
        <w:tcBorders>
          <w:top w:val="single" w:sz="8" w:space="0" w:color="4BACC6"/>
          <w:bottom w:val="single" w:sz="8" w:space="0" w:color="4BACC6"/>
        </w:tcBorders>
      </w:tcPr>
    </w:tblStylePr>
    <w:tblStylePr w:type="firstCol">
      <w:rPr>
        <w:b/>
        <w:bCs/>
      </w:rPr>
    </w:tblStylePr>
    <w:tblStylePr w:type="lastCol">
      <w:rPr>
        <w:b/>
        <w:bCs/>
      </w:rPr>
      <w:tblPr/>
      <w:tcPr>
        <w:tcBorders>
          <w:top w:val="single" w:sz="8" w:space="0" w:color="4BACC6"/>
          <w:bottom w:val="single" w:sz="8" w:space="0" w:color="4BACC6"/>
        </w:tcBorders>
      </w:tcPr>
    </w:tblStylePr>
    <w:tblStylePr w:type="band1Vert">
      <w:tblPr/>
      <w:tcPr>
        <w:shd w:val="clear" w:color="auto" w:fill="D2EAF1"/>
      </w:tcPr>
    </w:tblStylePr>
    <w:tblStylePr w:type="band1Horz">
      <w:tblPr/>
      <w:tcPr>
        <w:shd w:val="clear" w:color="auto" w:fill="D2EAF1"/>
      </w:tcPr>
    </w:tblStylePr>
  </w:style>
  <w:style w:type="table" w:styleId="MediumList1-Accent6">
    <w:name w:val="Medium List 1 Accent 6"/>
    <w:basedOn w:val="TableNormal"/>
    <w:uiPriority w:val="65"/>
    <w:rPr>
      <w:color w:val="000000"/>
    </w:rPr>
    <w:tblPr>
      <w:tblStyleRowBandSize w:val="1"/>
      <w:tblStyleColBandSize w:val="1"/>
      <w:tblBorders>
        <w:top w:val="single" w:sz="8" w:space="0" w:color="F79646"/>
        <w:bottom w:val="single" w:sz="8" w:space="0" w:color="F79646"/>
      </w:tblBorders>
    </w:tblPr>
    <w:tblStylePr w:type="firstRow">
      <w:rPr>
        <w:rFonts w:ascii="Calibri Light" w:eastAsia="Times New Roman" w:hAnsi="Calibri Light" w:cs="Times New Roman"/>
      </w:rPr>
      <w:tblPr/>
      <w:tcPr>
        <w:tcBorders>
          <w:top w:val="nil"/>
          <w:bottom w:val="single" w:sz="8" w:space="0" w:color="F79646"/>
        </w:tcBorders>
      </w:tcPr>
    </w:tblStylePr>
    <w:tblStylePr w:type="lastRow">
      <w:rPr>
        <w:b/>
        <w:bCs/>
        <w:color w:val="1F497D"/>
      </w:rPr>
      <w:tblPr/>
      <w:tcPr>
        <w:tcBorders>
          <w:top w:val="single" w:sz="8" w:space="0" w:color="F79646"/>
          <w:bottom w:val="single" w:sz="8" w:space="0" w:color="F79646"/>
        </w:tcBorders>
      </w:tcPr>
    </w:tblStylePr>
    <w:tblStylePr w:type="firstCol">
      <w:rPr>
        <w:b/>
        <w:bCs/>
      </w:rPr>
    </w:tblStylePr>
    <w:tblStylePr w:type="lastCol">
      <w:rPr>
        <w:b/>
        <w:bCs/>
      </w:rPr>
      <w:tblPr/>
      <w:tcPr>
        <w:tcBorders>
          <w:top w:val="single" w:sz="8" w:space="0" w:color="F79646"/>
          <w:bottom w:val="single" w:sz="8" w:space="0" w:color="F79646"/>
        </w:tcBorders>
      </w:tcPr>
    </w:tblStylePr>
    <w:tblStylePr w:type="band1Vert">
      <w:tblPr/>
      <w:tcPr>
        <w:shd w:val="clear" w:color="auto" w:fill="FDE4D0"/>
      </w:tcPr>
    </w:tblStylePr>
    <w:tblStylePr w:type="band1Horz">
      <w:tblPr/>
      <w:tcPr>
        <w:shd w:val="clear" w:color="auto" w:fill="FDE4D0"/>
      </w:tcPr>
    </w:tblStylePr>
  </w:style>
  <w:style w:type="table" w:styleId="MediumList2">
    <w:name w:val="Medium List 2"/>
    <w:basedOn w:val="TableNormal"/>
    <w:uiPriority w:val="66"/>
    <w:rPr>
      <w:rFonts w:ascii="Cambria" w:hAnsi="Cambria"/>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rPr>
      <w:rFonts w:ascii="Cambria" w:hAnsi="Cambria"/>
      <w:color w:val="000000"/>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rPr>
      <w:rFonts w:ascii="Cambria" w:hAnsi="Cambria"/>
      <w:color w:val="000000"/>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rPr>
        <w:sz w:val="24"/>
        <w:szCs w:val="24"/>
      </w:rPr>
      <w:tblPr/>
      <w:tcPr>
        <w:tcBorders>
          <w:top w:val="nil"/>
          <w:left w:val="nil"/>
          <w:bottom w:val="single" w:sz="24" w:space="0" w:color="C0504D"/>
          <w:right w:val="nil"/>
          <w:insideH w:val="nil"/>
          <w:insideV w:val="nil"/>
        </w:tcBorders>
        <w:shd w:val="clear" w:color="auto" w:fill="FFFFFF"/>
      </w:tcPr>
    </w:tblStylePr>
    <w:tblStylePr w:type="lastRow">
      <w:tblPr/>
      <w:tcPr>
        <w:tcBorders>
          <w:top w:val="single" w:sz="8" w:space="0" w:color="C0504D"/>
          <w:left w:val="nil"/>
          <w:bottom w:val="nil"/>
          <w:right w:val="nil"/>
          <w:insideH w:val="nil"/>
          <w:insideV w:val="nil"/>
        </w:tcBorders>
        <w:shd w:val="clear" w:color="auto" w:fill="FFFFFF"/>
      </w:tcPr>
    </w:tblStylePr>
    <w:tblStylePr w:type="firstCol">
      <w:tblPr/>
      <w:tcPr>
        <w:tcBorders>
          <w:top w:val="nil"/>
          <w:left w:val="nil"/>
          <w:bottom w:val="nil"/>
          <w:right w:val="single" w:sz="8" w:space="0" w:color="C0504D"/>
          <w:insideH w:val="nil"/>
          <w:insideV w:val="nil"/>
        </w:tcBorders>
        <w:shd w:val="clear" w:color="auto" w:fill="FFFFFF"/>
      </w:tcPr>
    </w:tblStylePr>
    <w:tblStylePr w:type="lastCol">
      <w:tblPr/>
      <w:tcPr>
        <w:tcBorders>
          <w:top w:val="nil"/>
          <w:left w:val="single" w:sz="8" w:space="0" w:color="C0504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FD3D2"/>
      </w:tcPr>
    </w:tblStylePr>
    <w:tblStylePr w:type="band1Horz">
      <w:tblPr/>
      <w:tcPr>
        <w:tcBorders>
          <w:top w:val="nil"/>
          <w:bottom w:val="nil"/>
          <w:insideH w:val="nil"/>
          <w:insideV w:val="nil"/>
        </w:tcBorders>
        <w:shd w:val="clear" w:color="auto" w:fill="EFD3D2"/>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rPr>
      <w:rFonts w:ascii="Cambria" w:hAnsi="Cambria"/>
      <w:color w:val="000000"/>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rPr>
        <w:sz w:val="24"/>
        <w:szCs w:val="24"/>
      </w:rPr>
      <w:tblPr/>
      <w:tcPr>
        <w:tcBorders>
          <w:top w:val="nil"/>
          <w:left w:val="nil"/>
          <w:bottom w:val="single" w:sz="24" w:space="0" w:color="9BBB59"/>
          <w:right w:val="nil"/>
          <w:insideH w:val="nil"/>
          <w:insideV w:val="nil"/>
        </w:tcBorders>
        <w:shd w:val="clear" w:color="auto" w:fill="FFFFFF"/>
      </w:tcPr>
    </w:tblStylePr>
    <w:tblStylePr w:type="lastRow">
      <w:tblPr/>
      <w:tcPr>
        <w:tcBorders>
          <w:top w:val="single" w:sz="8" w:space="0" w:color="9BBB59"/>
          <w:left w:val="nil"/>
          <w:bottom w:val="nil"/>
          <w:right w:val="nil"/>
          <w:insideH w:val="nil"/>
          <w:insideV w:val="nil"/>
        </w:tcBorders>
        <w:shd w:val="clear" w:color="auto" w:fill="FFFFFF"/>
      </w:tcPr>
    </w:tblStylePr>
    <w:tblStylePr w:type="firstCol">
      <w:tblPr/>
      <w:tcPr>
        <w:tcBorders>
          <w:top w:val="nil"/>
          <w:left w:val="nil"/>
          <w:bottom w:val="nil"/>
          <w:right w:val="single" w:sz="8" w:space="0" w:color="9BBB59"/>
          <w:insideH w:val="nil"/>
          <w:insideV w:val="nil"/>
        </w:tcBorders>
        <w:shd w:val="clear" w:color="auto" w:fill="FFFFFF"/>
      </w:tcPr>
    </w:tblStylePr>
    <w:tblStylePr w:type="lastCol">
      <w:tblPr/>
      <w:tcPr>
        <w:tcBorders>
          <w:top w:val="nil"/>
          <w:left w:val="single" w:sz="8" w:space="0" w:color="9BBB59"/>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6EED5"/>
      </w:tcPr>
    </w:tblStylePr>
    <w:tblStylePr w:type="band1Horz">
      <w:tblPr/>
      <w:tcPr>
        <w:tcBorders>
          <w:top w:val="nil"/>
          <w:bottom w:val="nil"/>
          <w:insideH w:val="nil"/>
          <w:insideV w:val="nil"/>
        </w:tcBorders>
        <w:shd w:val="clear" w:color="auto" w:fill="E6EED5"/>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rPr>
      <w:rFonts w:ascii="Cambria" w:hAnsi="Cambria"/>
      <w:color w:val="000000"/>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rPr>
        <w:sz w:val="24"/>
        <w:szCs w:val="24"/>
      </w:rPr>
      <w:tblPr/>
      <w:tcPr>
        <w:tcBorders>
          <w:top w:val="nil"/>
          <w:left w:val="nil"/>
          <w:bottom w:val="single" w:sz="24" w:space="0" w:color="8064A2"/>
          <w:right w:val="nil"/>
          <w:insideH w:val="nil"/>
          <w:insideV w:val="nil"/>
        </w:tcBorders>
        <w:shd w:val="clear" w:color="auto" w:fill="FFFFFF"/>
      </w:tcPr>
    </w:tblStylePr>
    <w:tblStylePr w:type="lastRow">
      <w:tblPr/>
      <w:tcPr>
        <w:tcBorders>
          <w:top w:val="single" w:sz="8" w:space="0" w:color="8064A2"/>
          <w:left w:val="nil"/>
          <w:bottom w:val="nil"/>
          <w:right w:val="nil"/>
          <w:insideH w:val="nil"/>
          <w:insideV w:val="nil"/>
        </w:tcBorders>
        <w:shd w:val="clear" w:color="auto" w:fill="FFFFFF"/>
      </w:tcPr>
    </w:tblStylePr>
    <w:tblStylePr w:type="firstCol">
      <w:tblPr/>
      <w:tcPr>
        <w:tcBorders>
          <w:top w:val="nil"/>
          <w:left w:val="nil"/>
          <w:bottom w:val="nil"/>
          <w:right w:val="single" w:sz="8" w:space="0" w:color="8064A2"/>
          <w:insideH w:val="nil"/>
          <w:insideV w:val="nil"/>
        </w:tcBorders>
        <w:shd w:val="clear" w:color="auto" w:fill="FFFFFF"/>
      </w:tcPr>
    </w:tblStylePr>
    <w:tblStylePr w:type="lastCol">
      <w:tblPr/>
      <w:tcPr>
        <w:tcBorders>
          <w:top w:val="nil"/>
          <w:left w:val="single" w:sz="8" w:space="0" w:color="8064A2"/>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FD8E8"/>
      </w:tcPr>
    </w:tblStylePr>
    <w:tblStylePr w:type="band1Horz">
      <w:tblPr/>
      <w:tcPr>
        <w:tcBorders>
          <w:top w:val="nil"/>
          <w:bottom w:val="nil"/>
          <w:insideH w:val="nil"/>
          <w:insideV w:val="nil"/>
        </w:tcBorders>
        <w:shd w:val="clear" w:color="auto" w:fill="DFD8E8"/>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rPr>
      <w:rFonts w:ascii="Cambria" w:hAnsi="Cambria"/>
      <w:color w:val="000000"/>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rPr>
        <w:sz w:val="24"/>
        <w:szCs w:val="24"/>
      </w:rPr>
      <w:tblPr/>
      <w:tcPr>
        <w:tcBorders>
          <w:top w:val="nil"/>
          <w:left w:val="nil"/>
          <w:bottom w:val="single" w:sz="24" w:space="0" w:color="4BACC6"/>
          <w:right w:val="nil"/>
          <w:insideH w:val="nil"/>
          <w:insideV w:val="nil"/>
        </w:tcBorders>
        <w:shd w:val="clear" w:color="auto" w:fill="FFFFFF"/>
      </w:tcPr>
    </w:tblStylePr>
    <w:tblStylePr w:type="lastRow">
      <w:tblPr/>
      <w:tcPr>
        <w:tcBorders>
          <w:top w:val="single" w:sz="8" w:space="0" w:color="4BACC6"/>
          <w:left w:val="nil"/>
          <w:bottom w:val="nil"/>
          <w:right w:val="nil"/>
          <w:insideH w:val="nil"/>
          <w:insideV w:val="nil"/>
        </w:tcBorders>
        <w:shd w:val="clear" w:color="auto" w:fill="FFFFFF"/>
      </w:tcPr>
    </w:tblStylePr>
    <w:tblStylePr w:type="firstCol">
      <w:tblPr/>
      <w:tcPr>
        <w:tcBorders>
          <w:top w:val="nil"/>
          <w:left w:val="nil"/>
          <w:bottom w:val="nil"/>
          <w:right w:val="single" w:sz="8" w:space="0" w:color="4BACC6"/>
          <w:insideH w:val="nil"/>
          <w:insideV w:val="nil"/>
        </w:tcBorders>
        <w:shd w:val="clear" w:color="auto" w:fill="FFFFFF"/>
      </w:tcPr>
    </w:tblStylePr>
    <w:tblStylePr w:type="lastCol">
      <w:tblPr/>
      <w:tcPr>
        <w:tcBorders>
          <w:top w:val="nil"/>
          <w:left w:val="single" w:sz="8" w:space="0" w:color="4BACC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2EAF1"/>
      </w:tcPr>
    </w:tblStylePr>
    <w:tblStylePr w:type="band1Horz">
      <w:tblPr/>
      <w:tcPr>
        <w:tcBorders>
          <w:top w:val="nil"/>
          <w:bottom w:val="nil"/>
          <w:insideH w:val="nil"/>
          <w:insideV w:val="nil"/>
        </w:tcBorders>
        <w:shd w:val="clear" w:color="auto" w:fill="D2EAF1"/>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rPr>
      <w:rFonts w:ascii="Cambria" w:hAnsi="Cambria"/>
      <w:color w:val="000000"/>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rPr>
        <w:sz w:val="24"/>
        <w:szCs w:val="24"/>
      </w:rPr>
      <w:tblPr/>
      <w:tcPr>
        <w:tcBorders>
          <w:top w:val="nil"/>
          <w:left w:val="nil"/>
          <w:bottom w:val="single" w:sz="24" w:space="0" w:color="F79646"/>
          <w:right w:val="nil"/>
          <w:insideH w:val="nil"/>
          <w:insideV w:val="nil"/>
        </w:tcBorders>
        <w:shd w:val="clear" w:color="auto" w:fill="FFFFFF"/>
      </w:tcPr>
    </w:tblStylePr>
    <w:tblStylePr w:type="lastRow">
      <w:tblPr/>
      <w:tcPr>
        <w:tcBorders>
          <w:top w:val="single" w:sz="8" w:space="0" w:color="F79646"/>
          <w:left w:val="nil"/>
          <w:bottom w:val="nil"/>
          <w:right w:val="nil"/>
          <w:insideH w:val="nil"/>
          <w:insideV w:val="nil"/>
        </w:tcBorders>
        <w:shd w:val="clear" w:color="auto" w:fill="FFFFFF"/>
      </w:tcPr>
    </w:tblStylePr>
    <w:tblStylePr w:type="firstCol">
      <w:tblPr/>
      <w:tcPr>
        <w:tcBorders>
          <w:top w:val="nil"/>
          <w:left w:val="nil"/>
          <w:bottom w:val="nil"/>
          <w:right w:val="single" w:sz="8" w:space="0" w:color="F79646"/>
          <w:insideH w:val="nil"/>
          <w:insideV w:val="nil"/>
        </w:tcBorders>
        <w:shd w:val="clear" w:color="auto" w:fill="FFFFFF"/>
      </w:tcPr>
    </w:tblStylePr>
    <w:tblStylePr w:type="lastCol">
      <w:tblPr/>
      <w:tcPr>
        <w:tcBorders>
          <w:top w:val="nil"/>
          <w:left w:val="single" w:sz="8" w:space="0" w:color="F7964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DE4D0"/>
      </w:tcPr>
    </w:tblStylePr>
    <w:tblStylePr w:type="band1Horz">
      <w:tblPr/>
      <w:tcPr>
        <w:tcBorders>
          <w:top w:val="nil"/>
          <w:bottom w:val="nil"/>
          <w:insideH w:val="nil"/>
          <w:insideV w:val="nil"/>
        </w:tcBorders>
        <w:shd w:val="clear" w:color="auto" w:fill="FDE4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styleId="MediumShading1-Accent2">
    <w:name w:val="Medium Shading 1 Accent 2"/>
    <w:basedOn w:val="TableNormal"/>
    <w:uiPriority w:val="63"/>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tblBorders>
    </w:tblPr>
    <w:tblStylePr w:type="firstRow">
      <w:pPr>
        <w:spacing w:before="0" w:after="0" w:line="240" w:lineRule="auto"/>
      </w:pPr>
      <w:rPr>
        <w:b/>
        <w:bCs/>
        <w:color w:val="FFFFFF"/>
      </w:rPr>
      <w:tblPr/>
      <w:tcPr>
        <w:tcBorders>
          <w:top w:val="single" w:sz="8" w:space="0" w:color="CF7B79"/>
          <w:left w:val="single" w:sz="8" w:space="0" w:color="CF7B79"/>
          <w:bottom w:val="single" w:sz="8" w:space="0" w:color="CF7B79"/>
          <w:right w:val="single" w:sz="8" w:space="0" w:color="CF7B79"/>
          <w:insideH w:val="nil"/>
          <w:insideV w:val="nil"/>
        </w:tcBorders>
        <w:shd w:val="clear" w:color="auto" w:fill="C0504D"/>
      </w:tcPr>
    </w:tblStylePr>
    <w:tblStylePr w:type="lastRow">
      <w:pPr>
        <w:spacing w:before="0" w:after="0" w:line="240" w:lineRule="auto"/>
      </w:pPr>
      <w:rPr>
        <w:b/>
        <w:bCs/>
      </w:rPr>
      <w:tblPr/>
      <w:tcPr>
        <w:tcBorders>
          <w:top w:val="double" w:sz="6" w:space="0" w:color="CF7B79"/>
          <w:left w:val="single" w:sz="8" w:space="0" w:color="CF7B79"/>
          <w:bottom w:val="single" w:sz="8" w:space="0" w:color="CF7B79"/>
          <w:right w:val="single" w:sz="8" w:space="0" w:color="CF7B79"/>
          <w:insideH w:val="nil"/>
          <w:insideV w:val="nil"/>
        </w:tcBorders>
      </w:tcPr>
    </w:tblStylePr>
    <w:tblStylePr w:type="firstCol">
      <w:rPr>
        <w:b/>
        <w:bCs/>
      </w:rPr>
    </w:tblStylePr>
    <w:tblStylePr w:type="lastCol">
      <w:rPr>
        <w:b/>
        <w:bCs/>
      </w:rPr>
    </w:tblStylePr>
    <w:tblStylePr w:type="band1Vert">
      <w:tblPr/>
      <w:tcPr>
        <w:shd w:val="clear" w:color="auto" w:fill="EFD3D2"/>
      </w:tcPr>
    </w:tblStylePr>
    <w:tblStylePr w:type="band1Horz">
      <w:tblPr/>
      <w:tcPr>
        <w:tcBorders>
          <w:insideH w:val="nil"/>
          <w:insideV w:val="nil"/>
        </w:tcBorders>
        <w:shd w:val="clear" w:color="auto" w:fill="EFD3D2"/>
      </w:tcPr>
    </w:tblStylePr>
    <w:tblStylePr w:type="band2Horz">
      <w:tblPr/>
      <w:tcPr>
        <w:tcBorders>
          <w:insideH w:val="nil"/>
          <w:insideV w:val="nil"/>
        </w:tcBorders>
      </w:tcPr>
    </w:tblStylePr>
  </w:style>
  <w:style w:type="table" w:styleId="MediumShading1-Accent3">
    <w:name w:val="Medium Shading 1 Accent 3"/>
    <w:basedOn w:val="TableNormal"/>
    <w:uiPriority w:val="63"/>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tblBorders>
    </w:tblPr>
    <w:tblStylePr w:type="firstRow">
      <w:pPr>
        <w:spacing w:before="0" w:after="0" w:line="240" w:lineRule="auto"/>
      </w:pPr>
      <w:rPr>
        <w:b/>
        <w:bCs/>
        <w:color w:val="FFFFFF"/>
      </w:rPr>
      <w:tblPr/>
      <w:tcPr>
        <w:tcBorders>
          <w:top w:val="single" w:sz="8" w:space="0" w:color="B3CC82"/>
          <w:left w:val="single" w:sz="8" w:space="0" w:color="B3CC82"/>
          <w:bottom w:val="single" w:sz="8" w:space="0" w:color="B3CC82"/>
          <w:right w:val="single" w:sz="8" w:space="0" w:color="B3CC82"/>
          <w:insideH w:val="nil"/>
          <w:insideV w:val="nil"/>
        </w:tcBorders>
        <w:shd w:val="clear" w:color="auto" w:fill="9BBB59"/>
      </w:tcPr>
    </w:tblStylePr>
    <w:tblStylePr w:type="lastRow">
      <w:pPr>
        <w:spacing w:before="0" w:after="0" w:line="240" w:lineRule="auto"/>
      </w:pPr>
      <w:rPr>
        <w:b/>
        <w:bCs/>
      </w:rPr>
      <w:tblPr/>
      <w:tcPr>
        <w:tcBorders>
          <w:top w:val="double" w:sz="6" w:space="0" w:color="B3CC82"/>
          <w:left w:val="single" w:sz="8" w:space="0" w:color="B3CC82"/>
          <w:bottom w:val="single" w:sz="8" w:space="0" w:color="B3CC82"/>
          <w:right w:val="single" w:sz="8" w:space="0" w:color="B3CC82"/>
          <w:insideH w:val="nil"/>
          <w:insideV w:val="nil"/>
        </w:tcBorders>
      </w:tcPr>
    </w:tblStylePr>
    <w:tblStylePr w:type="firstCol">
      <w:rPr>
        <w:b/>
        <w:bCs/>
      </w:rPr>
    </w:tblStylePr>
    <w:tblStylePr w:type="lastCol">
      <w:rPr>
        <w:b/>
        <w:bCs/>
      </w:rPr>
    </w:tblStylePr>
    <w:tblStylePr w:type="band1Vert">
      <w:tblPr/>
      <w:tcPr>
        <w:shd w:val="clear" w:color="auto" w:fill="E6EED5"/>
      </w:tcPr>
    </w:tblStylePr>
    <w:tblStylePr w:type="band1Horz">
      <w:tblPr/>
      <w:tcPr>
        <w:tcBorders>
          <w:insideH w:val="nil"/>
          <w:insideV w:val="nil"/>
        </w:tcBorders>
        <w:shd w:val="clear" w:color="auto" w:fill="E6EED5"/>
      </w:tcPr>
    </w:tblStylePr>
    <w:tblStylePr w:type="band2Horz">
      <w:tblPr/>
      <w:tcPr>
        <w:tcBorders>
          <w:insideH w:val="nil"/>
          <w:insideV w:val="nil"/>
        </w:tcBorders>
      </w:tcPr>
    </w:tblStylePr>
  </w:style>
  <w:style w:type="table" w:styleId="MediumShading1-Accent4">
    <w:name w:val="Medium Shading 1 Accent 4"/>
    <w:basedOn w:val="TableNormal"/>
    <w:uiPriority w:val="63"/>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styleId="MediumShading1-Accent5">
    <w:name w:val="Medium Shading 1 Accent 5"/>
    <w:basedOn w:val="TableNormal"/>
    <w:uiPriority w:val="63"/>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styleId="MediumShading1-Accent6">
    <w:name w:val="Medium Shading 1 Accent 6"/>
    <w:basedOn w:val="TableNormal"/>
    <w:uiPriority w:val="63"/>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tblBorders>
    </w:tblPr>
    <w:tblStylePr w:type="firstRow">
      <w:pPr>
        <w:spacing w:before="0" w:after="0"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0" w:after="0"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styleId="MediumShading2">
    <w:name w:val="Medium Shading 2"/>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7964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79646"/>
      </w:tcPr>
    </w:tblStylePr>
    <w:tblStylePr w:type="lastCol">
      <w:rPr>
        <w:b/>
        <w:bCs/>
        <w:color w:val="FFFFFF"/>
      </w:rPr>
      <w:tblPr/>
      <w:tcPr>
        <w:tcBorders>
          <w:left w:val="nil"/>
          <w:right w:val="nil"/>
          <w:insideH w:val="nil"/>
          <w:insideV w:val="nil"/>
        </w:tcBorders>
        <w:shd w:val="clear" w:color="auto" w:fill="F7964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sz w:val="24"/>
      <w:szCs w:val="24"/>
    </w:rPr>
  </w:style>
  <w:style w:type="character" w:customStyle="1" w:styleId="MessageHeaderChar">
    <w:name w:val="Message Header Char"/>
    <w:link w:val="MessageHeader"/>
    <w:rPr>
      <w:rFonts w:ascii="Cambria" w:eastAsia="Times New Roman" w:hAnsi="Cambria" w:cs="Times New Roman"/>
      <w:sz w:val="24"/>
      <w:szCs w:val="24"/>
      <w:shd w:val="pct20" w:color="auto" w:fill="auto"/>
      <w:lang w:eastAsia="en-US"/>
    </w:rPr>
  </w:style>
  <w:style w:type="paragraph" w:styleId="NoSpacing">
    <w:name w:val="No Spacing"/>
    <w:uiPriority w:val="1"/>
    <w:qFormat/>
    <w:pPr>
      <w:overflowPunct w:val="0"/>
      <w:autoSpaceDE w:val="0"/>
      <w:autoSpaceDN w:val="0"/>
      <w:adjustRightInd w:val="0"/>
      <w:textAlignment w:val="baseline"/>
    </w:pPr>
    <w:rPr>
      <w:lang w:eastAsia="en-US"/>
    </w:rPr>
  </w:style>
  <w:style w:type="paragraph" w:styleId="NormalWeb">
    <w:name w:val="Normal (Web)"/>
    <w:basedOn w:val="Normal"/>
    <w:rPr>
      <w:sz w:val="24"/>
      <w:szCs w:val="24"/>
    </w:rPr>
  </w:style>
  <w:style w:type="paragraph" w:styleId="NormalIndent">
    <w:name w:val="Normal Indent"/>
    <w:basedOn w:val="Normal"/>
    <w:pPr>
      <w:ind w:left="720"/>
    </w:pPr>
  </w:style>
  <w:style w:type="paragraph" w:styleId="NoteHeading">
    <w:name w:val="Note Heading"/>
    <w:basedOn w:val="Normal"/>
    <w:next w:val="Normal"/>
    <w:link w:val="NoteHeadingChar"/>
  </w:style>
  <w:style w:type="character" w:customStyle="1" w:styleId="NoteHeadingChar">
    <w:name w:val="Note Heading Char"/>
    <w:link w:val="NoteHeading"/>
    <w:rPr>
      <w:sz w:val="22"/>
      <w:lang w:eastAsia="en-US"/>
    </w:rPr>
  </w:style>
  <w:style w:type="character" w:styleId="PlaceholderText">
    <w:name w:val="Placeholder Text"/>
    <w:uiPriority w:val="99"/>
    <w:semiHidden/>
    <w:rPr>
      <w:color w:val="808080"/>
    </w:rPr>
  </w:style>
  <w:style w:type="paragraph" w:styleId="PlainText">
    <w:name w:val="Plain Text"/>
    <w:basedOn w:val="Normal"/>
    <w:link w:val="PlainTextChar"/>
    <w:rPr>
      <w:rFonts w:ascii="Courier New" w:hAnsi="Courier New" w:cs="Courier New"/>
      <w:sz w:val="20"/>
    </w:rPr>
  </w:style>
  <w:style w:type="character" w:customStyle="1" w:styleId="PlainTextChar">
    <w:name w:val="Plain Text Char"/>
    <w:link w:val="PlainText"/>
    <w:rPr>
      <w:rFonts w:ascii="Courier New" w:hAnsi="Courier New" w:cs="Courier New"/>
      <w:lang w:eastAsia="en-US"/>
    </w:rPr>
  </w:style>
  <w:style w:type="paragraph" w:styleId="Quote">
    <w:name w:val="Quote"/>
    <w:basedOn w:val="Normal"/>
    <w:next w:val="Normal"/>
    <w:link w:val="QuoteChar"/>
    <w:uiPriority w:val="29"/>
    <w:qFormat/>
    <w:rPr>
      <w:i/>
      <w:iCs/>
      <w:color w:val="000000"/>
    </w:rPr>
  </w:style>
  <w:style w:type="character" w:customStyle="1" w:styleId="QuoteChar">
    <w:name w:val="Quote Char"/>
    <w:link w:val="Quote"/>
    <w:uiPriority w:val="29"/>
    <w:rPr>
      <w:i/>
      <w:iCs/>
      <w:color w:val="000000"/>
      <w:sz w:val="22"/>
      <w:lang w:eastAsia="en-US"/>
    </w:rPr>
  </w:style>
  <w:style w:type="paragraph" w:styleId="Salutation">
    <w:name w:val="Salutation"/>
    <w:basedOn w:val="Normal"/>
    <w:next w:val="Normal"/>
    <w:link w:val="SalutationChar"/>
  </w:style>
  <w:style w:type="character" w:customStyle="1" w:styleId="SalutationChar">
    <w:name w:val="Salutation Char"/>
    <w:link w:val="Salutation"/>
    <w:rPr>
      <w:sz w:val="22"/>
      <w:lang w:eastAsia="en-US"/>
    </w:rPr>
  </w:style>
  <w:style w:type="paragraph" w:styleId="Signature">
    <w:name w:val="Signature"/>
    <w:basedOn w:val="Normal"/>
    <w:link w:val="SignatureChar"/>
    <w:pPr>
      <w:ind w:left="4252"/>
    </w:pPr>
  </w:style>
  <w:style w:type="character" w:customStyle="1" w:styleId="SignatureChar">
    <w:name w:val="Signature Char"/>
    <w:link w:val="Signature"/>
    <w:rPr>
      <w:sz w:val="22"/>
      <w:lang w:eastAsia="en-US"/>
    </w:rPr>
  </w:style>
  <w:style w:type="character" w:styleId="Strong">
    <w:name w:val="Strong"/>
    <w:qFormat/>
    <w:rPr>
      <w:b/>
      <w:bCs/>
    </w:rPr>
  </w:style>
  <w:style w:type="paragraph" w:styleId="Subtitle">
    <w:name w:val="Subtitle"/>
    <w:basedOn w:val="Normal"/>
    <w:next w:val="Normal"/>
    <w:link w:val="SubtitleChar"/>
    <w:uiPriority w:val="11"/>
    <w:qFormat/>
    <w:pPr>
      <w:spacing w:after="60"/>
      <w:jc w:val="center"/>
    </w:pPr>
    <w:rPr>
      <w:rFonts w:ascii="Cambria" w:eastAsia="Cambria" w:hAnsi="Cambria" w:cs="Cambria"/>
      <w:sz w:val="24"/>
      <w:szCs w:val="24"/>
    </w:rPr>
  </w:style>
  <w:style w:type="character" w:customStyle="1" w:styleId="SubtitleChar">
    <w:name w:val="Subtitle Char"/>
    <w:link w:val="Subtitle"/>
    <w:rPr>
      <w:rFonts w:ascii="Cambria" w:eastAsia="Times New Roman" w:hAnsi="Cambria" w:cs="Times New Roman"/>
      <w:sz w:val="24"/>
      <w:szCs w:val="24"/>
      <w:lang w:eastAsia="en-US"/>
    </w:rPr>
  </w:style>
  <w:style w:type="character" w:styleId="SubtleEmphasis">
    <w:name w:val="Subtle Emphasis"/>
    <w:uiPriority w:val="19"/>
    <w:qFormat/>
    <w:rPr>
      <w:i/>
      <w:iCs/>
      <w:color w:val="808080"/>
    </w:rPr>
  </w:style>
  <w:style w:type="character" w:styleId="SubtleReference">
    <w:name w:val="Subtle Reference"/>
    <w:uiPriority w:val="31"/>
    <w:qFormat/>
    <w:rPr>
      <w:smallCaps/>
      <w:color w:val="C0504D"/>
      <w:u w:val="single"/>
    </w:rPr>
  </w:style>
  <w:style w:type="table" w:styleId="Table3Deffects1">
    <w:name w:val="Table 3D effects 1"/>
    <w:basedOn w:val="TableNormal"/>
    <w:pPr>
      <w:overflowPunct w:val="0"/>
      <w:autoSpaceDE w:val="0"/>
      <w:autoSpaceDN w:val="0"/>
      <w:adjustRightInd w:val="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pPr>
      <w:overflowPunct w:val="0"/>
      <w:autoSpaceDE w:val="0"/>
      <w:autoSpaceDN w:val="0"/>
      <w:adjustRightInd w:val="0"/>
      <w:textAlignment w:val="baseline"/>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pPr>
      <w:overflowPunct w:val="0"/>
      <w:autoSpaceDE w:val="0"/>
      <w:autoSpaceDN w:val="0"/>
      <w:adjustRightInd w:val="0"/>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pPr>
      <w:overflowPunct w:val="0"/>
      <w:autoSpaceDE w:val="0"/>
      <w:autoSpaceDN w:val="0"/>
      <w:adjustRightInd w:val="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pPr>
      <w:overflowPunct w:val="0"/>
      <w:autoSpaceDE w:val="0"/>
      <w:autoSpaceDN w:val="0"/>
      <w:adjustRightInd w:val="0"/>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pPr>
      <w:overflowPunct w:val="0"/>
      <w:autoSpaceDE w:val="0"/>
      <w:autoSpaceDN w:val="0"/>
      <w:adjustRightInd w:val="0"/>
      <w:textAlignment w:val="baseline"/>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pPr>
      <w:overflowPunct w:val="0"/>
      <w:autoSpaceDE w:val="0"/>
      <w:autoSpaceDN w:val="0"/>
      <w:adjustRightInd w:val="0"/>
      <w:textAlignment w:val="baseline"/>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pPr>
      <w:overflowPunct w:val="0"/>
      <w:autoSpaceDE w:val="0"/>
      <w:autoSpaceDN w:val="0"/>
      <w:adjustRightInd w:val="0"/>
      <w:textAlignment w:val="baseline"/>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pPr>
      <w:overflowPunct w:val="0"/>
      <w:autoSpaceDE w:val="0"/>
      <w:autoSpaceDN w:val="0"/>
      <w:adjustRightInd w:val="0"/>
      <w:textAlignment w:val="baseline"/>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pPr>
      <w:overflowPunct w:val="0"/>
      <w:autoSpaceDE w:val="0"/>
      <w:autoSpaceDN w:val="0"/>
      <w:adjustRightInd w:val="0"/>
      <w:textAlignment w:val="baseline"/>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pPr>
      <w:overflowPunct w:val="0"/>
      <w:autoSpaceDE w:val="0"/>
      <w:autoSpaceDN w:val="0"/>
      <w:adjustRightInd w:val="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pPr>
      <w:overflowPunct w:val="0"/>
      <w:autoSpaceDE w:val="0"/>
      <w:autoSpaceDN w:val="0"/>
      <w:adjustRightInd w:val="0"/>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pPr>
      <w:overflowPunct w:val="0"/>
      <w:autoSpaceDE w:val="0"/>
      <w:autoSpaceDN w:val="0"/>
      <w:adjustRightInd w:val="0"/>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pPr>
      <w:overflowPunct w:val="0"/>
      <w:autoSpaceDE w:val="0"/>
      <w:autoSpaceDN w:val="0"/>
      <w:adjustRightInd w:val="0"/>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pPr>
      <w:overflowPunct w:val="0"/>
      <w:autoSpaceDE w:val="0"/>
      <w:autoSpaceDN w:val="0"/>
      <w:adjustRightInd w:val="0"/>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pPr>
      <w:overflowPunct w:val="0"/>
      <w:autoSpaceDE w:val="0"/>
      <w:autoSpaceDN w:val="0"/>
      <w:adjustRightInd w:val="0"/>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pPr>
      <w:overflowPunct w:val="0"/>
      <w:autoSpaceDE w:val="0"/>
      <w:autoSpaceDN w:val="0"/>
      <w:adjustRightInd w:val="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pPr>
      <w:overflowPunct w:val="0"/>
      <w:autoSpaceDE w:val="0"/>
      <w:autoSpaceDN w:val="0"/>
      <w:adjustRightInd w:val="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pPr>
      <w:overflowPunct w:val="0"/>
      <w:autoSpaceDE w:val="0"/>
      <w:autoSpaceDN w:val="0"/>
      <w:adjustRightInd w:val="0"/>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pPr>
      <w:overflowPunct w:val="0"/>
      <w:autoSpaceDE w:val="0"/>
      <w:autoSpaceDN w:val="0"/>
      <w:adjustRightInd w:val="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pPr>
      <w:overflowPunct w:val="0"/>
      <w:autoSpaceDE w:val="0"/>
      <w:autoSpaceDN w:val="0"/>
      <w:adjustRightInd w:val="0"/>
      <w:textAlignment w:val="baseline"/>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pPr>
      <w:overflowPunct w:val="0"/>
      <w:autoSpaceDE w:val="0"/>
      <w:autoSpaceDN w:val="0"/>
      <w:adjustRightInd w:val="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pPr>
      <w:overflowPunct w:val="0"/>
      <w:autoSpaceDE w:val="0"/>
      <w:autoSpaceDN w:val="0"/>
      <w:adjustRightInd w:val="0"/>
      <w:textAlignment w:val="baseline"/>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pPr>
      <w:overflowPunct w:val="0"/>
      <w:autoSpaceDE w:val="0"/>
      <w:autoSpaceDN w:val="0"/>
      <w:adjustRightInd w:val="0"/>
      <w:textAlignment w:val="baseline"/>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pPr>
      <w:overflowPunct w:val="0"/>
      <w:autoSpaceDE w:val="0"/>
      <w:autoSpaceDN w:val="0"/>
      <w:adjustRightInd w:val="0"/>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pPr>
      <w:overflowPunct w:val="0"/>
      <w:autoSpaceDE w:val="0"/>
      <w:autoSpaceDN w:val="0"/>
      <w:adjustRightInd w:val="0"/>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pPr>
      <w:overflowPunct w:val="0"/>
      <w:autoSpaceDE w:val="0"/>
      <w:autoSpaceDN w:val="0"/>
      <w:adjustRightInd w:val="0"/>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pPr>
      <w:overflowPunct w:val="0"/>
      <w:autoSpaceDE w:val="0"/>
      <w:autoSpaceDN w:val="0"/>
      <w:adjustRightInd w:val="0"/>
      <w:textAlignment w:val="baseline"/>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pPr>
      <w:overflowPunct w:val="0"/>
      <w:autoSpaceDE w:val="0"/>
      <w:autoSpaceDN w:val="0"/>
      <w:adjustRightInd w:val="0"/>
      <w:textAlignment w:val="baseline"/>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pPr>
      <w:overflowPunct w:val="0"/>
      <w:autoSpaceDE w:val="0"/>
      <w:autoSpaceDN w:val="0"/>
      <w:adjustRightInd w:val="0"/>
      <w:textAlignment w:val="baseline"/>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pPr>
      <w:overflowPunct w:val="0"/>
      <w:autoSpaceDE w:val="0"/>
      <w:autoSpaceDN w:val="0"/>
      <w:adjustRightInd w:val="0"/>
      <w:textAlignment w:val="baseline"/>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pPr>
      <w:overflowPunct w:val="0"/>
      <w:autoSpaceDE w:val="0"/>
      <w:autoSpaceDN w:val="0"/>
      <w:adjustRightInd w:val="0"/>
      <w:textAlignment w:val="baseline"/>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pPr>
      <w:ind w:left="220" w:hanging="220"/>
    </w:pPr>
  </w:style>
  <w:style w:type="paragraph" w:styleId="TableofFigures">
    <w:name w:val="table of figures"/>
    <w:basedOn w:val="Normal"/>
    <w:next w:val="Normal"/>
  </w:style>
  <w:style w:type="table" w:styleId="TableProfessional">
    <w:name w:val="Table Professional"/>
    <w:basedOn w:val="TableNormal"/>
    <w:pPr>
      <w:overflowPunct w:val="0"/>
      <w:autoSpaceDE w:val="0"/>
      <w:autoSpaceDN w:val="0"/>
      <w:adjustRightInd w:val="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pPr>
      <w:overflowPunct w:val="0"/>
      <w:autoSpaceDE w:val="0"/>
      <w:autoSpaceDN w:val="0"/>
      <w:adjustRightInd w:val="0"/>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pPr>
      <w:overflowPunct w:val="0"/>
      <w:autoSpaceDE w:val="0"/>
      <w:autoSpaceDN w:val="0"/>
      <w:adjustRightInd w:val="0"/>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pPr>
      <w:overflowPunct w:val="0"/>
      <w:autoSpaceDE w:val="0"/>
      <w:autoSpaceDN w:val="0"/>
      <w:adjustRightInd w:val="0"/>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pPr>
      <w:overflowPunct w:val="0"/>
      <w:autoSpaceDE w:val="0"/>
      <w:autoSpaceDN w:val="0"/>
      <w:adjustRightInd w:val="0"/>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pPr>
      <w:overflowPunct w:val="0"/>
      <w:autoSpaceDE w:val="0"/>
      <w:autoSpaceDN w:val="0"/>
      <w:adjustRightInd w:val="0"/>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pPr>
      <w:overflowPunct w:val="0"/>
      <w:autoSpaceDE w:val="0"/>
      <w:autoSpaceDN w:val="0"/>
      <w:adjustRightInd w:val="0"/>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pPr>
      <w:overflowPunct w:val="0"/>
      <w:autoSpaceDE w:val="0"/>
      <w:autoSpaceDN w:val="0"/>
      <w:adjustRightInd w:val="0"/>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pPr>
      <w:overflowPunct w:val="0"/>
      <w:autoSpaceDE w:val="0"/>
      <w:autoSpaceDN w:val="0"/>
      <w:adjustRightInd w:val="0"/>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CHeading">
    <w:name w:val="TOC Heading"/>
    <w:basedOn w:val="Heading1"/>
    <w:next w:val="Normal"/>
    <w:uiPriority w:val="39"/>
    <w:semiHidden/>
    <w:unhideWhenUsed/>
    <w:qFormat/>
    <w:pPr>
      <w:keepNext/>
      <w:numPr>
        <w:numId w:val="0"/>
      </w:numPr>
      <w:overflowPunct w:val="0"/>
      <w:autoSpaceDE w:val="0"/>
      <w:autoSpaceDN w:val="0"/>
      <w:spacing w:before="240" w:after="60"/>
      <w:textAlignment w:val="baseline"/>
      <w:outlineLvl w:val="9"/>
    </w:pPr>
    <w:rPr>
      <w:rFonts w:ascii="Cambria" w:eastAsia="Times New Roman" w:hAnsi="Cambria"/>
      <w:b/>
      <w:bCs/>
      <w:kern w:val="32"/>
      <w:sz w:val="32"/>
      <w:szCs w:val="32"/>
      <w:lang w:eastAsia="en-US"/>
    </w:rPr>
  </w:style>
  <w:style w:type="character" w:customStyle="1" w:styleId="Heading1Char">
    <w:name w:val="Heading 1 Char"/>
    <w:link w:val="Heading1"/>
    <w:uiPriority w:val="9"/>
    <w:rPr>
      <w:rFonts w:eastAsia="STZhongsong"/>
      <w:sz w:val="22"/>
      <w:lang w:eastAsia="zh-CN"/>
    </w:rPr>
  </w:style>
  <w:style w:type="character" w:customStyle="1" w:styleId="Heading2Char">
    <w:name w:val="Heading 2 Char"/>
    <w:link w:val="Heading2"/>
    <w:uiPriority w:val="9"/>
    <w:rPr>
      <w:rFonts w:ascii="Calibri" w:eastAsia="STZhongsong" w:hAnsi="Calibri"/>
      <w:sz w:val="22"/>
      <w:lang w:eastAsia="zh-CN"/>
    </w:rPr>
  </w:style>
  <w:style w:type="character" w:customStyle="1" w:styleId="Heading3Char">
    <w:name w:val="Heading 3 Char"/>
    <w:link w:val="Heading3"/>
    <w:uiPriority w:val="9"/>
    <w:rPr>
      <w:rFonts w:eastAsia="STZhongsong"/>
      <w:sz w:val="22"/>
      <w:lang w:eastAsia="zh-CN"/>
    </w:rPr>
  </w:style>
  <w:style w:type="character" w:customStyle="1" w:styleId="Heading4Char">
    <w:name w:val="Heading 4 Char"/>
    <w:link w:val="Heading4"/>
    <w:uiPriority w:val="9"/>
    <w:rPr>
      <w:rFonts w:eastAsia="STZhongsong"/>
      <w:sz w:val="22"/>
      <w:lang w:eastAsia="zh-CN"/>
    </w:rPr>
  </w:style>
  <w:style w:type="character" w:customStyle="1" w:styleId="Heading5Char">
    <w:name w:val="Heading 5 Char"/>
    <w:link w:val="Heading5"/>
    <w:uiPriority w:val="9"/>
    <w:locked/>
    <w:rPr>
      <w:rFonts w:eastAsia="STZhongsong"/>
      <w:sz w:val="22"/>
      <w:lang w:eastAsia="zh-CN"/>
    </w:rPr>
  </w:style>
  <w:style w:type="character" w:customStyle="1" w:styleId="MarginTextChar">
    <w:name w:val="Margin Text Char"/>
    <w:link w:val="MarginText"/>
    <w:rPr>
      <w:rFonts w:ascii="Calibri" w:eastAsia="STZhongsong" w:hAnsi="Calibri"/>
      <w:sz w:val="22"/>
      <w:lang w:eastAsia="zh-CN"/>
    </w:rPr>
  </w:style>
  <w:style w:type="character" w:customStyle="1" w:styleId="BodyTextIndent2Char">
    <w:name w:val="Body Text Indent 2 Char"/>
    <w:link w:val="BodyTextIndent2"/>
    <w:rPr>
      <w:rFonts w:eastAsia="STZhongsong"/>
      <w:lang w:eastAsia="zh-CN"/>
    </w:rPr>
  </w:style>
  <w:style w:type="paragraph" w:customStyle="1" w:styleId="PartDes">
    <w:name w:val="PartDes"/>
    <w:basedOn w:val="Normal"/>
    <w:qFormat/>
    <w:pPr>
      <w:overflowPunct/>
      <w:autoSpaceDE/>
      <w:autoSpaceDN/>
      <w:adjustRightInd/>
      <w:spacing w:before="120" w:after="120" w:line="240" w:lineRule="auto"/>
      <w:jc w:val="center"/>
      <w:textAlignment w:val="auto"/>
    </w:pPr>
    <w:rPr>
      <w:rFonts w:ascii="Trebuchet MS" w:eastAsia="Trebuchet MS" w:hAnsi="Trebuchet MS"/>
      <w:b/>
      <w:bCs/>
    </w:rPr>
  </w:style>
  <w:style w:type="paragraph" w:customStyle="1" w:styleId="TableNormal1">
    <w:name w:val="Table Normal1"/>
    <w:basedOn w:val="Normal"/>
    <w:pPr>
      <w:overflowPunct/>
      <w:autoSpaceDE/>
      <w:autoSpaceDN/>
      <w:adjustRightInd/>
      <w:spacing w:before="120" w:after="120" w:line="240" w:lineRule="auto"/>
      <w:ind w:left="34"/>
      <w:jc w:val="left"/>
      <w:textAlignment w:val="auto"/>
    </w:pPr>
    <w:rPr>
      <w:rFonts w:ascii="Trebuchet MS" w:eastAsia="Trebuchet MS" w:hAnsi="Trebuchet MS"/>
    </w:rPr>
  </w:style>
  <w:style w:type="paragraph" w:customStyle="1" w:styleId="Heading2-NotBoldNotUnderlined">
    <w:name w:val="Heading 2 - Not Bold Not Underlined"/>
    <w:basedOn w:val="Heading2"/>
    <w:uiPriority w:val="3"/>
    <w:qFormat/>
    <w:pPr>
      <w:numPr>
        <w:numId w:val="0"/>
      </w:numPr>
      <w:adjustRightInd/>
      <w:spacing w:after="200"/>
      <w:ind w:left="1582" w:hanging="720"/>
    </w:pPr>
    <w:rPr>
      <w:rFonts w:ascii="Arial" w:eastAsia="Calibri" w:hAnsi="Arial" w:cs="Arial"/>
      <w:sz w:val="20"/>
      <w:lang w:eastAsia="en-US"/>
    </w:rPr>
  </w:style>
  <w:style w:type="paragraph" w:customStyle="1" w:styleId="Body2">
    <w:name w:val="Body2"/>
    <w:basedOn w:val="Normal"/>
    <w:pPr>
      <w:overflowPunct/>
      <w:autoSpaceDE/>
      <w:autoSpaceDN/>
      <w:adjustRightInd/>
      <w:ind w:left="709"/>
      <w:textAlignment w:val="auto"/>
    </w:pPr>
    <w:rPr>
      <w:sz w:val="24"/>
      <w:szCs w:val="24"/>
    </w:rPr>
  </w:style>
  <w:style w:type="paragraph" w:customStyle="1" w:styleId="GPSL1CLAUSEHEADING">
    <w:name w:val="GPS L1 CLAUSE HEADING"/>
    <w:basedOn w:val="Normal"/>
    <w:next w:val="Normal"/>
    <w:qFormat/>
    <w:pPr>
      <w:tabs>
        <w:tab w:val="left" w:pos="142"/>
      </w:tabs>
      <w:overflowPunct/>
      <w:autoSpaceDE/>
      <w:autoSpaceDN/>
      <w:spacing w:before="120" w:line="240" w:lineRule="auto"/>
      <w:textAlignment w:val="auto"/>
      <w:outlineLvl w:val="1"/>
    </w:pPr>
    <w:rPr>
      <w:rFonts w:ascii="Calibri" w:eastAsia="STZhongsong" w:hAnsi="Calibri" w:cs="Arial"/>
      <w:b/>
      <w:caps/>
      <w:lang w:eastAsia="zh-CN"/>
    </w:rPr>
  </w:style>
  <w:style w:type="paragraph" w:customStyle="1" w:styleId="GPSL3numberedclause">
    <w:name w:val="GPS L3 numbered clause"/>
    <w:basedOn w:val="Normal"/>
    <w:link w:val="GPSL3numberedclauseChar"/>
    <w:qFormat/>
    <w:pPr>
      <w:tabs>
        <w:tab w:val="left" w:pos="1985"/>
      </w:tabs>
      <w:overflowPunct/>
      <w:autoSpaceDE/>
      <w:autoSpaceDN/>
      <w:spacing w:before="120" w:after="120" w:line="240" w:lineRule="auto"/>
      <w:textAlignment w:val="auto"/>
    </w:pPr>
    <w:rPr>
      <w:rFonts w:ascii="Calibri" w:hAnsi="Calibri" w:cs="Arial"/>
      <w:lang w:eastAsia="zh-CN"/>
    </w:rPr>
  </w:style>
  <w:style w:type="paragraph" w:customStyle="1" w:styleId="GPSL4numberedclause">
    <w:name w:val="GPS L4 numbered clause"/>
    <w:basedOn w:val="GPSL3numberedclause"/>
    <w:qFormat/>
    <w:pPr>
      <w:tabs>
        <w:tab w:val="left" w:pos="2552"/>
      </w:tabs>
    </w:pPr>
  </w:style>
  <w:style w:type="paragraph" w:customStyle="1" w:styleId="GPSL5numberedclause">
    <w:name w:val="GPS L5 numbered clause"/>
    <w:basedOn w:val="GPSL4numberedclause"/>
    <w:qFormat/>
    <w:pPr>
      <w:tabs>
        <w:tab w:val="left" w:pos="3119"/>
      </w:tabs>
    </w:pPr>
  </w:style>
  <w:style w:type="paragraph" w:customStyle="1" w:styleId="GPSL2NumberedBoldHeading">
    <w:name w:val="GPS L2 Numbered Bold Heading"/>
    <w:basedOn w:val="Normal"/>
    <w:qFormat/>
    <w:pPr>
      <w:tabs>
        <w:tab w:val="left" w:pos="1134"/>
      </w:tabs>
      <w:overflowPunct/>
      <w:autoSpaceDE/>
      <w:autoSpaceDN/>
      <w:spacing w:before="120" w:after="120" w:line="240" w:lineRule="auto"/>
      <w:textAlignment w:val="auto"/>
    </w:pPr>
    <w:rPr>
      <w:rFonts w:ascii="Calibri" w:hAnsi="Calibri" w:cs="Arial"/>
      <w:b/>
      <w:lang w:eastAsia="zh-CN"/>
    </w:rPr>
  </w:style>
  <w:style w:type="paragraph" w:customStyle="1" w:styleId="GPSL6numbered">
    <w:name w:val="GPS L6 numbered"/>
    <w:basedOn w:val="GPSL5numberedclause"/>
    <w:qFormat/>
    <w:pPr>
      <w:tabs>
        <w:tab w:val="left" w:pos="3686"/>
      </w:tabs>
    </w:pPr>
  </w:style>
  <w:style w:type="character" w:customStyle="1" w:styleId="GPSL3numberedclauseChar">
    <w:name w:val="GPS L3 numbered clause Char"/>
    <w:link w:val="GPSL3numberedclause"/>
    <w:locked/>
    <w:rPr>
      <w:rFonts w:ascii="Calibri" w:hAnsi="Calibri" w:cs="Arial"/>
      <w:sz w:val="22"/>
      <w:szCs w:val="22"/>
      <w:lang w:eastAsia="zh-CN"/>
    </w:rPr>
  </w:style>
  <w:style w:type="paragraph" w:customStyle="1" w:styleId="GPSL1SCHEDULEHeading">
    <w:name w:val="GPS L1 SCHEDULE Heading"/>
    <w:basedOn w:val="GPSL1CLAUSEHEADING"/>
    <w:link w:val="GPSL1SCHEDULEHeadingChar"/>
    <w:qFormat/>
    <w:pPr>
      <w:keepNext/>
      <w:tabs>
        <w:tab w:val="clear" w:pos="142"/>
      </w:tabs>
      <w:outlineLvl w:val="9"/>
    </w:pPr>
  </w:style>
  <w:style w:type="paragraph" w:customStyle="1" w:styleId="GPSL2Numbered">
    <w:name w:val="GPS L2 Numbered"/>
    <w:basedOn w:val="GPSL2NumberedBoldHeading"/>
    <w:link w:val="GPSL2NumberedChar"/>
    <w:qFormat/>
    <w:pPr>
      <w:tabs>
        <w:tab w:val="clear" w:pos="1134"/>
      </w:tabs>
    </w:pPr>
    <w:rPr>
      <w:b w:val="0"/>
    </w:rPr>
  </w:style>
  <w:style w:type="character" w:customStyle="1" w:styleId="GPSL2NumberedChar">
    <w:name w:val="GPS L2 Numbered Char"/>
    <w:link w:val="GPSL2Numbered"/>
    <w:locked/>
    <w:rPr>
      <w:rFonts w:ascii="Calibri" w:hAnsi="Calibri" w:cs="Arial"/>
      <w:sz w:val="22"/>
      <w:szCs w:val="22"/>
      <w:lang w:eastAsia="zh-CN"/>
    </w:rPr>
  </w:style>
  <w:style w:type="character" w:customStyle="1" w:styleId="GPSL1SCHEDULEHeadingChar">
    <w:name w:val="GPS L1 SCHEDULE Heading Char"/>
    <w:link w:val="GPSL1SCHEDULEHeading"/>
    <w:locked/>
    <w:rPr>
      <w:rFonts w:ascii="Calibri" w:eastAsia="STZhongsong" w:hAnsi="Calibri" w:cs="Arial"/>
      <w:b/>
      <w:caps/>
      <w:sz w:val="22"/>
      <w:szCs w:val="22"/>
      <w:lang w:eastAsia="zh-CN"/>
    </w:rPr>
  </w:style>
  <w:style w:type="character" w:customStyle="1" w:styleId="FooterChar">
    <w:name w:val="Footer Char"/>
    <w:link w:val="Footer"/>
    <w:uiPriority w:val="99"/>
    <w:rPr>
      <w:sz w:val="22"/>
      <w:lang w:eastAsia="en-US"/>
    </w:rPr>
  </w:style>
  <w:style w:type="paragraph" w:customStyle="1" w:styleId="GPsDefinition">
    <w:name w:val="GPs Definition"/>
    <w:basedOn w:val="Normal"/>
    <w:uiPriority w:val="99"/>
    <w:qFormat/>
    <w:pPr>
      <w:tabs>
        <w:tab w:val="left" w:pos="-9"/>
        <w:tab w:val="num" w:pos="720"/>
      </w:tabs>
      <w:spacing w:after="120" w:line="240" w:lineRule="auto"/>
      <w:ind w:left="720" w:hanging="720"/>
    </w:pPr>
    <w:rPr>
      <w:rFonts w:ascii="Arial" w:hAnsi="Arial" w:cs="Arial"/>
    </w:rPr>
  </w:style>
  <w:style w:type="paragraph" w:customStyle="1" w:styleId="GPSDefinitionL2">
    <w:name w:val="GPS Definition L2"/>
    <w:basedOn w:val="GPsDefinition"/>
    <w:uiPriority w:val="99"/>
    <w:qFormat/>
    <w:pPr>
      <w:numPr>
        <w:ilvl w:val="1"/>
      </w:numPr>
      <w:tabs>
        <w:tab w:val="clear" w:pos="-9"/>
        <w:tab w:val="left" w:pos="144"/>
        <w:tab w:val="num" w:pos="720"/>
      </w:tabs>
      <w:ind w:left="720" w:hanging="545"/>
    </w:pPr>
  </w:style>
  <w:style w:type="paragraph" w:customStyle="1" w:styleId="GPSDefinitionL3">
    <w:name w:val="GPS Definition L3"/>
    <w:basedOn w:val="GPSDefinitionL2"/>
    <w:uiPriority w:val="99"/>
    <w:qFormat/>
    <w:pPr>
      <w:numPr>
        <w:ilvl w:val="2"/>
      </w:numPr>
      <w:tabs>
        <w:tab w:val="num" w:pos="720"/>
      </w:tabs>
      <w:ind w:left="720" w:hanging="545"/>
    </w:pPr>
  </w:style>
  <w:style w:type="paragraph" w:customStyle="1" w:styleId="GPSDefinitionL4">
    <w:name w:val="GPS Definition L4"/>
    <w:basedOn w:val="GPSDefinitionL3"/>
    <w:uiPriority w:val="99"/>
    <w:qFormat/>
    <w:pPr>
      <w:numPr>
        <w:ilvl w:val="3"/>
      </w:numPr>
      <w:tabs>
        <w:tab w:val="num" w:pos="720"/>
      </w:tabs>
      <w:ind w:left="720" w:hanging="545"/>
    </w:pPr>
  </w:style>
  <w:style w:type="paragraph" w:customStyle="1" w:styleId="GPSDefinitionTerm">
    <w:name w:val="GPS Definition Term"/>
    <w:basedOn w:val="Normal"/>
    <w:qFormat/>
    <w:pPr>
      <w:spacing w:after="120" w:line="240" w:lineRule="auto"/>
      <w:ind w:left="-108"/>
      <w:jc w:val="left"/>
    </w:pPr>
    <w:rPr>
      <w:rFonts w:ascii="Arial" w:hAnsi="Arial" w:cs="Arial"/>
      <w:b/>
    </w:rPr>
  </w:style>
  <w:style w:type="character" w:customStyle="1" w:styleId="HeaderChar">
    <w:name w:val="Header Char"/>
    <w:link w:val="Header"/>
    <w:uiPriority w:val="99"/>
    <w:rPr>
      <w:sz w:val="22"/>
      <w:lang w:eastAsia="en-US"/>
    </w:rPr>
  </w:style>
  <w:style w:type="paragraph" w:customStyle="1" w:styleId="msonormal0">
    <w:name w:val="msonormal"/>
    <w:basedOn w:val="Normal"/>
    <w:rsid w:val="008F03EB"/>
    <w:pPr>
      <w:overflowPunct/>
      <w:autoSpaceDE/>
      <w:autoSpaceDN/>
      <w:adjustRightInd/>
      <w:spacing w:before="100" w:beforeAutospacing="1" w:after="100" w:afterAutospacing="1" w:line="240" w:lineRule="auto"/>
      <w:jc w:val="left"/>
      <w:textAlignment w:val="auto"/>
    </w:pPr>
    <w:rPr>
      <w:sz w:val="24"/>
      <w:szCs w:val="24"/>
      <w:lang w:eastAsia="en-GB"/>
    </w:rPr>
  </w:style>
  <w:style w:type="paragraph" w:customStyle="1" w:styleId="xl65">
    <w:name w:val="xl65"/>
    <w:basedOn w:val="Normal"/>
    <w:rsid w:val="008F03EB"/>
    <w:pPr>
      <w:overflowPunct/>
      <w:autoSpaceDE/>
      <w:autoSpaceDN/>
      <w:adjustRightInd/>
      <w:spacing w:before="100" w:beforeAutospacing="1" w:after="100" w:afterAutospacing="1" w:line="240" w:lineRule="auto"/>
      <w:jc w:val="center"/>
      <w:textAlignment w:val="auto"/>
    </w:pPr>
    <w:rPr>
      <w:sz w:val="24"/>
      <w:szCs w:val="24"/>
      <w:lang w:eastAsia="en-GB"/>
    </w:rPr>
  </w:style>
  <w:style w:type="paragraph" w:customStyle="1" w:styleId="xl66">
    <w:name w:val="xl66"/>
    <w:basedOn w:val="Normal"/>
    <w:rsid w:val="008F03EB"/>
    <w:pPr>
      <w:overflowPunct/>
      <w:autoSpaceDE/>
      <w:autoSpaceDN/>
      <w:adjustRightInd/>
      <w:spacing w:before="100" w:beforeAutospacing="1" w:after="100" w:afterAutospacing="1" w:line="240" w:lineRule="auto"/>
      <w:jc w:val="left"/>
      <w:textAlignment w:val="auto"/>
    </w:pPr>
    <w:rPr>
      <w:sz w:val="24"/>
      <w:szCs w:val="24"/>
      <w:lang w:eastAsia="en-GB"/>
    </w:rPr>
  </w:style>
  <w:style w:type="paragraph" w:customStyle="1" w:styleId="xl67">
    <w:name w:val="xl67"/>
    <w:basedOn w:val="Normal"/>
    <w:rsid w:val="008F03EB"/>
    <w:pPr>
      <w:overflowPunct/>
      <w:autoSpaceDE/>
      <w:autoSpaceDN/>
      <w:adjustRightInd/>
      <w:spacing w:before="100" w:beforeAutospacing="1" w:after="100" w:afterAutospacing="1" w:line="240" w:lineRule="auto"/>
      <w:jc w:val="left"/>
      <w:textAlignment w:val="auto"/>
    </w:pPr>
    <w:rPr>
      <w:sz w:val="24"/>
      <w:szCs w:val="24"/>
      <w:lang w:eastAsia="en-GB"/>
    </w:rPr>
  </w:style>
  <w:style w:type="paragraph" w:customStyle="1" w:styleId="xl68">
    <w:name w:val="xl68"/>
    <w:basedOn w:val="Normal"/>
    <w:rsid w:val="008F03EB"/>
    <w:pPr>
      <w:overflowPunct/>
      <w:autoSpaceDE/>
      <w:autoSpaceDN/>
      <w:adjustRightInd/>
      <w:spacing w:before="100" w:beforeAutospacing="1" w:after="100" w:afterAutospacing="1" w:line="240" w:lineRule="auto"/>
      <w:jc w:val="center"/>
      <w:textAlignment w:val="center"/>
    </w:pPr>
    <w:rPr>
      <w:sz w:val="24"/>
      <w:szCs w:val="24"/>
      <w:lang w:eastAsia="en-GB"/>
    </w:rPr>
  </w:style>
  <w:style w:type="paragraph" w:customStyle="1" w:styleId="xl69">
    <w:name w:val="xl69"/>
    <w:basedOn w:val="Normal"/>
    <w:rsid w:val="008F03EB"/>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line="240" w:lineRule="auto"/>
      <w:jc w:val="center"/>
      <w:textAlignment w:val="center"/>
    </w:pPr>
    <w:rPr>
      <w:b/>
      <w:bCs/>
      <w:sz w:val="24"/>
      <w:szCs w:val="24"/>
      <w:lang w:eastAsia="en-GB"/>
    </w:rPr>
  </w:style>
  <w:style w:type="paragraph" w:customStyle="1" w:styleId="xl70">
    <w:name w:val="xl70"/>
    <w:basedOn w:val="Normal"/>
    <w:rsid w:val="008F03EB"/>
    <w:pPr>
      <w:pBdr>
        <w:top w:val="single" w:sz="8" w:space="0" w:color="auto"/>
        <w:left w:val="single" w:sz="4" w:space="0" w:color="auto"/>
      </w:pBdr>
      <w:shd w:val="clear" w:color="000000" w:fill="D9E1F2"/>
      <w:overflowPunct/>
      <w:autoSpaceDE/>
      <w:autoSpaceDN/>
      <w:adjustRightInd/>
      <w:spacing w:before="100" w:beforeAutospacing="1" w:after="100" w:afterAutospacing="1" w:line="240" w:lineRule="auto"/>
      <w:jc w:val="center"/>
      <w:textAlignment w:val="center"/>
    </w:pPr>
    <w:rPr>
      <w:b/>
      <w:bCs/>
      <w:sz w:val="24"/>
      <w:szCs w:val="24"/>
      <w:lang w:eastAsia="en-GB"/>
    </w:rPr>
  </w:style>
  <w:style w:type="paragraph" w:customStyle="1" w:styleId="xl71">
    <w:name w:val="xl71"/>
    <w:basedOn w:val="Normal"/>
    <w:rsid w:val="008F03EB"/>
    <w:pPr>
      <w:pBdr>
        <w:left w:val="single" w:sz="8" w:space="0" w:color="auto"/>
        <w:right w:val="single" w:sz="8" w:space="0" w:color="auto"/>
      </w:pBdr>
      <w:shd w:val="clear" w:color="000000" w:fill="FCE4D6"/>
      <w:overflowPunct/>
      <w:autoSpaceDE/>
      <w:autoSpaceDN/>
      <w:adjustRightInd/>
      <w:spacing w:before="100" w:beforeAutospacing="1" w:after="100" w:afterAutospacing="1" w:line="240" w:lineRule="auto"/>
      <w:jc w:val="center"/>
      <w:textAlignment w:val="center"/>
    </w:pPr>
    <w:rPr>
      <w:b/>
      <w:bCs/>
      <w:sz w:val="24"/>
      <w:szCs w:val="24"/>
      <w:lang w:eastAsia="en-GB"/>
    </w:rPr>
  </w:style>
  <w:style w:type="paragraph" w:customStyle="1" w:styleId="xl72">
    <w:name w:val="xl72"/>
    <w:basedOn w:val="Normal"/>
    <w:rsid w:val="008F03EB"/>
    <w:pPr>
      <w:overflowPunct/>
      <w:autoSpaceDE/>
      <w:autoSpaceDN/>
      <w:adjustRightInd/>
      <w:spacing w:before="100" w:beforeAutospacing="1" w:after="100" w:afterAutospacing="1" w:line="240" w:lineRule="auto"/>
      <w:jc w:val="left"/>
      <w:textAlignment w:val="center"/>
    </w:pPr>
    <w:rPr>
      <w:sz w:val="24"/>
      <w:szCs w:val="24"/>
      <w:lang w:eastAsia="en-GB"/>
    </w:rPr>
  </w:style>
  <w:style w:type="paragraph" w:customStyle="1" w:styleId="xl73">
    <w:name w:val="xl73"/>
    <w:basedOn w:val="Normal"/>
    <w:rsid w:val="008F03EB"/>
    <w:pPr>
      <w:pBdr>
        <w:left w:val="single" w:sz="8" w:space="0" w:color="auto"/>
        <w:right w:val="single" w:sz="4" w:space="0" w:color="auto"/>
      </w:pBdr>
      <w:shd w:val="clear" w:color="000000" w:fill="D9E1F2"/>
      <w:overflowPunct/>
      <w:autoSpaceDE/>
      <w:autoSpaceDN/>
      <w:adjustRightInd/>
      <w:spacing w:before="100" w:beforeAutospacing="1" w:after="100" w:afterAutospacing="1" w:line="240" w:lineRule="auto"/>
      <w:jc w:val="center"/>
      <w:textAlignment w:val="center"/>
    </w:pPr>
    <w:rPr>
      <w:b/>
      <w:bCs/>
      <w:sz w:val="24"/>
      <w:szCs w:val="24"/>
      <w:lang w:eastAsia="en-GB"/>
    </w:rPr>
  </w:style>
  <w:style w:type="paragraph" w:customStyle="1" w:styleId="xl74">
    <w:name w:val="xl74"/>
    <w:basedOn w:val="Normal"/>
    <w:rsid w:val="008F03EB"/>
    <w:pPr>
      <w:pBdr>
        <w:left w:val="single" w:sz="4" w:space="0" w:color="auto"/>
        <w:right w:val="single" w:sz="4" w:space="0" w:color="auto"/>
      </w:pBdr>
      <w:shd w:val="clear" w:color="000000" w:fill="D9E1F2"/>
      <w:overflowPunct/>
      <w:autoSpaceDE/>
      <w:autoSpaceDN/>
      <w:adjustRightInd/>
      <w:spacing w:before="100" w:beforeAutospacing="1" w:after="100" w:afterAutospacing="1" w:line="240" w:lineRule="auto"/>
      <w:jc w:val="center"/>
      <w:textAlignment w:val="center"/>
    </w:pPr>
    <w:rPr>
      <w:b/>
      <w:bCs/>
      <w:sz w:val="24"/>
      <w:szCs w:val="24"/>
      <w:lang w:eastAsia="en-GB"/>
    </w:rPr>
  </w:style>
  <w:style w:type="paragraph" w:customStyle="1" w:styleId="xl75">
    <w:name w:val="xl75"/>
    <w:basedOn w:val="Normal"/>
    <w:rsid w:val="008F03EB"/>
    <w:pPr>
      <w:pBdr>
        <w:left w:val="single" w:sz="4" w:space="0" w:color="auto"/>
        <w:right w:val="single" w:sz="8" w:space="0" w:color="auto"/>
      </w:pBdr>
      <w:shd w:val="clear" w:color="000000" w:fill="D9E1F2"/>
      <w:overflowPunct/>
      <w:autoSpaceDE/>
      <w:autoSpaceDN/>
      <w:adjustRightInd/>
      <w:spacing w:before="100" w:beforeAutospacing="1" w:after="100" w:afterAutospacing="1" w:line="240" w:lineRule="auto"/>
      <w:jc w:val="center"/>
      <w:textAlignment w:val="center"/>
    </w:pPr>
    <w:rPr>
      <w:b/>
      <w:bCs/>
      <w:sz w:val="24"/>
      <w:szCs w:val="24"/>
      <w:lang w:eastAsia="en-GB"/>
    </w:rPr>
  </w:style>
  <w:style w:type="paragraph" w:customStyle="1" w:styleId="xl76">
    <w:name w:val="xl76"/>
    <w:basedOn w:val="Normal"/>
    <w:rsid w:val="008F03EB"/>
    <w:pPr>
      <w:pBdr>
        <w:top w:val="single" w:sz="8" w:space="0" w:color="auto"/>
        <w:left w:val="single" w:sz="8" w:space="0" w:color="auto"/>
        <w:bottom w:val="single" w:sz="4" w:space="0" w:color="auto"/>
        <w:right w:val="single" w:sz="8" w:space="0" w:color="auto"/>
      </w:pBdr>
      <w:overflowPunct/>
      <w:autoSpaceDE/>
      <w:autoSpaceDN/>
      <w:adjustRightInd/>
      <w:spacing w:before="100" w:beforeAutospacing="1" w:after="100" w:afterAutospacing="1" w:line="240" w:lineRule="auto"/>
      <w:jc w:val="center"/>
      <w:textAlignment w:val="center"/>
    </w:pPr>
    <w:rPr>
      <w:sz w:val="24"/>
      <w:szCs w:val="24"/>
      <w:lang w:eastAsia="en-GB"/>
    </w:rPr>
  </w:style>
  <w:style w:type="paragraph" w:customStyle="1" w:styleId="xl77">
    <w:name w:val="xl77"/>
    <w:basedOn w:val="Normal"/>
    <w:rsid w:val="008F03EB"/>
    <w:pPr>
      <w:pBdr>
        <w:top w:val="single" w:sz="4" w:space="0" w:color="auto"/>
        <w:left w:val="single" w:sz="8" w:space="0" w:color="auto"/>
        <w:bottom w:val="single" w:sz="4" w:space="0" w:color="auto"/>
        <w:right w:val="single" w:sz="8" w:space="0" w:color="auto"/>
      </w:pBdr>
      <w:overflowPunct/>
      <w:autoSpaceDE/>
      <w:autoSpaceDN/>
      <w:adjustRightInd/>
      <w:spacing w:before="100" w:beforeAutospacing="1" w:after="100" w:afterAutospacing="1" w:line="240" w:lineRule="auto"/>
      <w:jc w:val="center"/>
      <w:textAlignment w:val="center"/>
    </w:pPr>
    <w:rPr>
      <w:sz w:val="24"/>
      <w:szCs w:val="24"/>
      <w:lang w:eastAsia="en-GB"/>
    </w:rPr>
  </w:style>
  <w:style w:type="paragraph" w:customStyle="1" w:styleId="xl78">
    <w:name w:val="xl78"/>
    <w:basedOn w:val="Normal"/>
    <w:rsid w:val="008F03EB"/>
    <w:pPr>
      <w:pBdr>
        <w:top w:val="single" w:sz="4" w:space="0" w:color="auto"/>
        <w:left w:val="single" w:sz="8" w:space="0" w:color="auto"/>
        <w:bottom w:val="single" w:sz="8" w:space="0" w:color="auto"/>
        <w:right w:val="single" w:sz="8" w:space="0" w:color="auto"/>
      </w:pBdr>
      <w:overflowPunct/>
      <w:autoSpaceDE/>
      <w:autoSpaceDN/>
      <w:adjustRightInd/>
      <w:spacing w:before="100" w:beforeAutospacing="1" w:after="100" w:afterAutospacing="1" w:line="240" w:lineRule="auto"/>
      <w:jc w:val="center"/>
      <w:textAlignment w:val="center"/>
    </w:pPr>
    <w:rPr>
      <w:sz w:val="24"/>
      <w:szCs w:val="24"/>
      <w:lang w:eastAsia="en-GB"/>
    </w:rPr>
  </w:style>
  <w:style w:type="paragraph" w:customStyle="1" w:styleId="xl79">
    <w:name w:val="xl79"/>
    <w:basedOn w:val="Normal"/>
    <w:rsid w:val="008F03EB"/>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line="240" w:lineRule="auto"/>
      <w:jc w:val="center"/>
      <w:textAlignment w:val="center"/>
    </w:pPr>
    <w:rPr>
      <w:sz w:val="24"/>
      <w:szCs w:val="24"/>
      <w:lang w:eastAsia="en-GB"/>
    </w:rPr>
  </w:style>
  <w:style w:type="paragraph" w:customStyle="1" w:styleId="xl80">
    <w:name w:val="xl80"/>
    <w:basedOn w:val="Normal"/>
    <w:rsid w:val="008F03EB"/>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line="240" w:lineRule="auto"/>
      <w:jc w:val="center"/>
      <w:textAlignment w:val="center"/>
    </w:pPr>
    <w:rPr>
      <w:sz w:val="24"/>
      <w:szCs w:val="24"/>
      <w:lang w:eastAsia="en-GB"/>
    </w:rPr>
  </w:style>
  <w:style w:type="paragraph" w:customStyle="1" w:styleId="xl81">
    <w:name w:val="xl81"/>
    <w:basedOn w:val="Normal"/>
    <w:rsid w:val="008F03EB"/>
    <w:pPr>
      <w:pBdr>
        <w:top w:val="single" w:sz="8" w:space="0" w:color="auto"/>
        <w:left w:val="single" w:sz="8" w:space="0" w:color="auto"/>
        <w:right w:val="single" w:sz="8" w:space="0" w:color="auto"/>
      </w:pBdr>
      <w:shd w:val="clear" w:color="000000" w:fill="FCE4D6"/>
      <w:overflowPunct/>
      <w:autoSpaceDE/>
      <w:autoSpaceDN/>
      <w:adjustRightInd/>
      <w:spacing w:before="100" w:beforeAutospacing="1" w:after="100" w:afterAutospacing="1" w:line="240" w:lineRule="auto"/>
      <w:jc w:val="center"/>
      <w:textAlignment w:val="auto"/>
    </w:pPr>
    <w:rPr>
      <w:b/>
      <w:bCs/>
      <w:sz w:val="24"/>
      <w:szCs w:val="24"/>
      <w:lang w:eastAsia="en-GB"/>
    </w:rPr>
  </w:style>
  <w:style w:type="paragraph" w:customStyle="1" w:styleId="xl82">
    <w:name w:val="xl82"/>
    <w:basedOn w:val="Normal"/>
    <w:rsid w:val="008F03EB"/>
    <w:pPr>
      <w:pBdr>
        <w:left w:val="single" w:sz="8" w:space="0" w:color="auto"/>
        <w:right w:val="single" w:sz="8" w:space="0" w:color="auto"/>
      </w:pBdr>
      <w:shd w:val="clear" w:color="000000" w:fill="FCE4D6"/>
      <w:overflowPunct/>
      <w:autoSpaceDE/>
      <w:autoSpaceDN/>
      <w:adjustRightInd/>
      <w:spacing w:before="100" w:beforeAutospacing="1" w:after="100" w:afterAutospacing="1" w:line="240" w:lineRule="auto"/>
      <w:jc w:val="center"/>
      <w:textAlignment w:val="center"/>
    </w:pPr>
    <w:rPr>
      <w:sz w:val="24"/>
      <w:szCs w:val="24"/>
      <w:lang w:eastAsia="en-GB"/>
    </w:rPr>
  </w:style>
  <w:style w:type="paragraph" w:customStyle="1" w:styleId="xl83">
    <w:name w:val="xl83"/>
    <w:basedOn w:val="Normal"/>
    <w:rsid w:val="008F03EB"/>
    <w:pPr>
      <w:pBdr>
        <w:top w:val="single" w:sz="8" w:space="0" w:color="auto"/>
        <w:left w:val="single" w:sz="8" w:space="0" w:color="auto"/>
        <w:bottom w:val="single" w:sz="8" w:space="0" w:color="auto"/>
      </w:pBdr>
      <w:shd w:val="clear" w:color="000000" w:fill="D9E1F2"/>
      <w:overflowPunct/>
      <w:autoSpaceDE/>
      <w:autoSpaceDN/>
      <w:adjustRightInd/>
      <w:spacing w:before="100" w:beforeAutospacing="1" w:after="100" w:afterAutospacing="1" w:line="240" w:lineRule="auto"/>
      <w:jc w:val="left"/>
      <w:textAlignment w:val="auto"/>
    </w:pPr>
    <w:rPr>
      <w:b/>
      <w:bCs/>
      <w:sz w:val="24"/>
      <w:szCs w:val="24"/>
      <w:lang w:eastAsia="en-GB"/>
    </w:rPr>
  </w:style>
  <w:style w:type="paragraph" w:customStyle="1" w:styleId="xl84">
    <w:name w:val="xl84"/>
    <w:basedOn w:val="Normal"/>
    <w:rsid w:val="008F03EB"/>
    <w:pPr>
      <w:pBdr>
        <w:top w:val="single" w:sz="8" w:space="0" w:color="auto"/>
        <w:bottom w:val="single" w:sz="8" w:space="0" w:color="auto"/>
      </w:pBdr>
      <w:shd w:val="clear" w:color="000000" w:fill="D9E1F2"/>
      <w:overflowPunct/>
      <w:autoSpaceDE/>
      <w:autoSpaceDN/>
      <w:adjustRightInd/>
      <w:spacing w:before="100" w:beforeAutospacing="1" w:after="100" w:afterAutospacing="1" w:line="240" w:lineRule="auto"/>
      <w:jc w:val="left"/>
      <w:textAlignment w:val="auto"/>
    </w:pPr>
    <w:rPr>
      <w:b/>
      <w:bCs/>
      <w:sz w:val="24"/>
      <w:szCs w:val="24"/>
      <w:lang w:eastAsia="en-GB"/>
    </w:rPr>
  </w:style>
  <w:style w:type="paragraph" w:customStyle="1" w:styleId="xl85">
    <w:name w:val="xl85"/>
    <w:basedOn w:val="Normal"/>
    <w:rsid w:val="008F03EB"/>
    <w:pPr>
      <w:pBdr>
        <w:top w:val="single" w:sz="8"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line="240" w:lineRule="auto"/>
      <w:jc w:val="center"/>
      <w:textAlignment w:val="center"/>
    </w:pPr>
    <w:rPr>
      <w:b/>
      <w:bCs/>
      <w:sz w:val="24"/>
      <w:szCs w:val="24"/>
      <w:lang w:eastAsia="en-GB"/>
    </w:rPr>
  </w:style>
  <w:style w:type="paragraph" w:customStyle="1" w:styleId="xl86">
    <w:name w:val="xl86"/>
    <w:basedOn w:val="Normal"/>
    <w:rsid w:val="008F03EB"/>
    <w:pPr>
      <w:pBdr>
        <w:top w:val="single" w:sz="8"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line="240" w:lineRule="auto"/>
      <w:jc w:val="center"/>
      <w:textAlignment w:val="center"/>
    </w:pPr>
    <w:rPr>
      <w:b/>
      <w:bCs/>
      <w:sz w:val="24"/>
      <w:szCs w:val="24"/>
      <w:lang w:eastAsia="en-GB"/>
    </w:rPr>
  </w:style>
  <w:style w:type="paragraph" w:customStyle="1" w:styleId="xl87">
    <w:name w:val="xl87"/>
    <w:basedOn w:val="Normal"/>
    <w:rsid w:val="008F03EB"/>
    <w:pPr>
      <w:pBdr>
        <w:left w:val="single" w:sz="8" w:space="0" w:color="auto"/>
      </w:pBdr>
      <w:shd w:val="clear" w:color="000000" w:fill="FCE4D6"/>
      <w:overflowPunct/>
      <w:autoSpaceDE/>
      <w:autoSpaceDN/>
      <w:adjustRightInd/>
      <w:spacing w:before="100" w:beforeAutospacing="1" w:after="100" w:afterAutospacing="1" w:line="240" w:lineRule="auto"/>
      <w:jc w:val="left"/>
      <w:textAlignment w:val="center"/>
    </w:pPr>
    <w:rPr>
      <w:sz w:val="24"/>
      <w:szCs w:val="24"/>
      <w:lang w:eastAsia="en-GB"/>
    </w:rPr>
  </w:style>
  <w:style w:type="paragraph" w:customStyle="1" w:styleId="xl88">
    <w:name w:val="xl88"/>
    <w:basedOn w:val="Normal"/>
    <w:rsid w:val="008F03EB"/>
    <w:pPr>
      <w:pBdr>
        <w:left w:val="single" w:sz="8" w:space="0" w:color="auto"/>
        <w:right w:val="single" w:sz="8" w:space="0" w:color="auto"/>
      </w:pBdr>
      <w:shd w:val="clear" w:color="000000" w:fill="FCE4D6"/>
      <w:overflowPunct/>
      <w:autoSpaceDE/>
      <w:autoSpaceDN/>
      <w:adjustRightInd/>
      <w:spacing w:before="100" w:beforeAutospacing="1" w:after="100" w:afterAutospacing="1" w:line="240" w:lineRule="auto"/>
      <w:jc w:val="left"/>
      <w:textAlignment w:val="center"/>
    </w:pPr>
    <w:rPr>
      <w:sz w:val="24"/>
      <w:szCs w:val="24"/>
      <w:lang w:eastAsia="en-GB"/>
    </w:rPr>
  </w:style>
  <w:style w:type="paragraph" w:customStyle="1" w:styleId="xl89">
    <w:name w:val="xl89"/>
    <w:basedOn w:val="Normal"/>
    <w:rsid w:val="008F03EB"/>
    <w:pPr>
      <w:pBdr>
        <w:top w:val="single" w:sz="4" w:space="0" w:color="auto"/>
        <w:left w:val="single" w:sz="8" w:space="0" w:color="auto"/>
        <w:right w:val="single" w:sz="8" w:space="0" w:color="auto"/>
      </w:pBdr>
      <w:overflowPunct/>
      <w:autoSpaceDE/>
      <w:autoSpaceDN/>
      <w:adjustRightInd/>
      <w:spacing w:before="100" w:beforeAutospacing="1" w:after="100" w:afterAutospacing="1" w:line="240" w:lineRule="auto"/>
      <w:jc w:val="center"/>
      <w:textAlignment w:val="center"/>
    </w:pPr>
    <w:rPr>
      <w:sz w:val="24"/>
      <w:szCs w:val="24"/>
      <w:lang w:eastAsia="en-GB"/>
    </w:rPr>
  </w:style>
  <w:style w:type="paragraph" w:customStyle="1" w:styleId="xl90">
    <w:name w:val="xl90"/>
    <w:basedOn w:val="Normal"/>
    <w:rsid w:val="008F03EB"/>
    <w:pPr>
      <w:pBdr>
        <w:left w:val="single" w:sz="8" w:space="0" w:color="auto"/>
        <w:bottom w:val="single" w:sz="8" w:space="0" w:color="auto"/>
      </w:pBdr>
      <w:shd w:val="clear" w:color="000000" w:fill="FCE4D6"/>
      <w:overflowPunct/>
      <w:autoSpaceDE/>
      <w:autoSpaceDN/>
      <w:adjustRightInd/>
      <w:spacing w:before="100" w:beforeAutospacing="1" w:after="100" w:afterAutospacing="1" w:line="240" w:lineRule="auto"/>
      <w:jc w:val="left"/>
      <w:textAlignment w:val="center"/>
    </w:pPr>
    <w:rPr>
      <w:sz w:val="24"/>
      <w:szCs w:val="24"/>
      <w:lang w:eastAsia="en-GB"/>
    </w:rPr>
  </w:style>
  <w:style w:type="paragraph" w:customStyle="1" w:styleId="xl91">
    <w:name w:val="xl91"/>
    <w:basedOn w:val="Normal"/>
    <w:rsid w:val="008F03EB"/>
    <w:pPr>
      <w:pBdr>
        <w:left w:val="single" w:sz="8" w:space="0" w:color="auto"/>
        <w:bottom w:val="single" w:sz="8" w:space="0" w:color="auto"/>
        <w:right w:val="single" w:sz="8" w:space="0" w:color="auto"/>
      </w:pBdr>
      <w:shd w:val="clear" w:color="000000" w:fill="FCE4D6"/>
      <w:overflowPunct/>
      <w:autoSpaceDE/>
      <w:autoSpaceDN/>
      <w:adjustRightInd/>
      <w:spacing w:before="100" w:beforeAutospacing="1" w:after="100" w:afterAutospacing="1" w:line="240" w:lineRule="auto"/>
      <w:jc w:val="left"/>
      <w:textAlignment w:val="center"/>
    </w:pPr>
    <w:rPr>
      <w:sz w:val="24"/>
      <w:szCs w:val="24"/>
      <w:lang w:eastAsia="en-GB"/>
    </w:rPr>
  </w:style>
  <w:style w:type="paragraph" w:customStyle="1" w:styleId="xl92">
    <w:name w:val="xl92"/>
    <w:basedOn w:val="Normal"/>
    <w:rsid w:val="008F03EB"/>
    <w:pPr>
      <w:pBdr>
        <w:top w:val="single" w:sz="8" w:space="0" w:color="auto"/>
        <w:left w:val="single" w:sz="8" w:space="0" w:color="auto"/>
        <w:bottom w:val="single" w:sz="4" w:space="0" w:color="auto"/>
      </w:pBdr>
      <w:shd w:val="clear" w:color="000000" w:fill="FFFFFF"/>
      <w:overflowPunct/>
      <w:autoSpaceDE/>
      <w:autoSpaceDN/>
      <w:adjustRightInd/>
      <w:spacing w:before="100" w:beforeAutospacing="1" w:after="100" w:afterAutospacing="1" w:line="240" w:lineRule="auto"/>
      <w:jc w:val="left"/>
      <w:textAlignment w:val="center"/>
    </w:pPr>
    <w:rPr>
      <w:sz w:val="24"/>
      <w:szCs w:val="24"/>
      <w:lang w:eastAsia="en-GB"/>
    </w:rPr>
  </w:style>
  <w:style w:type="paragraph" w:customStyle="1" w:styleId="xl93">
    <w:name w:val="xl93"/>
    <w:basedOn w:val="Normal"/>
    <w:rsid w:val="008F03EB"/>
    <w:pPr>
      <w:pBdr>
        <w:top w:val="single" w:sz="4" w:space="0" w:color="auto"/>
        <w:left w:val="single" w:sz="8" w:space="0" w:color="auto"/>
        <w:bottom w:val="single" w:sz="4" w:space="0" w:color="auto"/>
      </w:pBdr>
      <w:shd w:val="clear" w:color="000000" w:fill="FFFFFF"/>
      <w:overflowPunct/>
      <w:autoSpaceDE/>
      <w:autoSpaceDN/>
      <w:adjustRightInd/>
      <w:spacing w:before="100" w:beforeAutospacing="1" w:after="100" w:afterAutospacing="1" w:line="240" w:lineRule="auto"/>
      <w:jc w:val="left"/>
      <w:textAlignment w:val="center"/>
    </w:pPr>
    <w:rPr>
      <w:sz w:val="24"/>
      <w:szCs w:val="24"/>
      <w:lang w:eastAsia="en-GB"/>
    </w:rPr>
  </w:style>
  <w:style w:type="paragraph" w:customStyle="1" w:styleId="xl94">
    <w:name w:val="xl94"/>
    <w:basedOn w:val="Normal"/>
    <w:rsid w:val="008F03EB"/>
    <w:pPr>
      <w:pBdr>
        <w:left w:val="single" w:sz="8" w:space="0" w:color="auto"/>
      </w:pBdr>
      <w:shd w:val="clear" w:color="000000" w:fill="FCE4D6"/>
      <w:overflowPunct/>
      <w:autoSpaceDE/>
      <w:autoSpaceDN/>
      <w:adjustRightInd/>
      <w:spacing w:before="100" w:beforeAutospacing="1" w:after="100" w:afterAutospacing="1" w:line="240" w:lineRule="auto"/>
      <w:jc w:val="center"/>
      <w:textAlignment w:val="center"/>
    </w:pPr>
    <w:rPr>
      <w:sz w:val="24"/>
      <w:szCs w:val="24"/>
      <w:lang w:eastAsia="en-GB"/>
    </w:rPr>
  </w:style>
  <w:style w:type="paragraph" w:customStyle="1" w:styleId="xl95">
    <w:name w:val="xl95"/>
    <w:basedOn w:val="Normal"/>
    <w:rsid w:val="008F03EB"/>
    <w:pPr>
      <w:pBdr>
        <w:left w:val="single" w:sz="8" w:space="0" w:color="auto"/>
        <w:bottom w:val="single" w:sz="4" w:space="0" w:color="auto"/>
        <w:right w:val="single" w:sz="4" w:space="0" w:color="auto"/>
      </w:pBdr>
      <w:overflowPunct/>
      <w:autoSpaceDE/>
      <w:autoSpaceDN/>
      <w:adjustRightInd/>
      <w:spacing w:before="100" w:beforeAutospacing="1" w:after="100" w:afterAutospacing="1" w:line="240" w:lineRule="auto"/>
      <w:jc w:val="center"/>
      <w:textAlignment w:val="center"/>
    </w:pPr>
    <w:rPr>
      <w:sz w:val="24"/>
      <w:szCs w:val="24"/>
      <w:lang w:eastAsia="en-GB"/>
    </w:rPr>
  </w:style>
  <w:style w:type="paragraph" w:customStyle="1" w:styleId="xl96">
    <w:name w:val="xl96"/>
    <w:basedOn w:val="Normal"/>
    <w:rsid w:val="008F03EB"/>
    <w:pPr>
      <w:pBdr>
        <w:top w:val="single" w:sz="8" w:space="0" w:color="auto"/>
        <w:left w:val="single" w:sz="8" w:space="0" w:color="auto"/>
        <w:bottom w:val="single" w:sz="8" w:space="0" w:color="auto"/>
        <w:right w:val="single" w:sz="4" w:space="0" w:color="auto"/>
      </w:pBdr>
      <w:shd w:val="clear" w:color="000000" w:fill="D9E1F2"/>
      <w:overflowPunct/>
      <w:autoSpaceDE/>
      <w:autoSpaceDN/>
      <w:adjustRightInd/>
      <w:spacing w:before="100" w:beforeAutospacing="1" w:after="100" w:afterAutospacing="1" w:line="240" w:lineRule="auto"/>
      <w:jc w:val="left"/>
      <w:textAlignment w:val="center"/>
    </w:pPr>
    <w:rPr>
      <w:b/>
      <w:bCs/>
      <w:sz w:val="24"/>
      <w:szCs w:val="24"/>
      <w:lang w:eastAsia="en-GB"/>
    </w:rPr>
  </w:style>
  <w:style w:type="paragraph" w:customStyle="1" w:styleId="xl97">
    <w:name w:val="xl97"/>
    <w:basedOn w:val="Normal"/>
    <w:rsid w:val="008F03EB"/>
    <w:pPr>
      <w:pBdr>
        <w:top w:val="single" w:sz="4" w:space="0" w:color="auto"/>
        <w:left w:val="single" w:sz="8" w:space="0" w:color="auto"/>
        <w:bottom w:val="single" w:sz="8" w:space="0" w:color="auto"/>
      </w:pBdr>
      <w:shd w:val="clear" w:color="000000" w:fill="FFFFFF"/>
      <w:overflowPunct/>
      <w:autoSpaceDE/>
      <w:autoSpaceDN/>
      <w:adjustRightInd/>
      <w:spacing w:before="100" w:beforeAutospacing="1" w:after="100" w:afterAutospacing="1" w:line="240" w:lineRule="auto"/>
      <w:jc w:val="left"/>
      <w:textAlignment w:val="center"/>
    </w:pPr>
    <w:rPr>
      <w:sz w:val="24"/>
      <w:szCs w:val="24"/>
      <w:lang w:eastAsia="en-GB"/>
    </w:rPr>
  </w:style>
  <w:style w:type="paragraph" w:customStyle="1" w:styleId="xl98">
    <w:name w:val="xl98"/>
    <w:basedOn w:val="Normal"/>
    <w:rsid w:val="008F03EB"/>
    <w:pPr>
      <w:pBdr>
        <w:top w:val="single" w:sz="8" w:space="0" w:color="auto"/>
        <w:left w:val="single" w:sz="8" w:space="0" w:color="auto"/>
        <w:right w:val="single" w:sz="4" w:space="0" w:color="auto"/>
      </w:pBdr>
      <w:shd w:val="clear" w:color="000000" w:fill="D9E1F2"/>
      <w:overflowPunct/>
      <w:autoSpaceDE/>
      <w:autoSpaceDN/>
      <w:adjustRightInd/>
      <w:spacing w:before="100" w:beforeAutospacing="1" w:after="100" w:afterAutospacing="1" w:line="240" w:lineRule="auto"/>
      <w:jc w:val="left"/>
      <w:textAlignment w:val="center"/>
    </w:pPr>
    <w:rPr>
      <w:b/>
      <w:bCs/>
      <w:sz w:val="24"/>
      <w:szCs w:val="24"/>
      <w:lang w:eastAsia="en-GB"/>
    </w:rPr>
  </w:style>
  <w:style w:type="paragraph" w:customStyle="1" w:styleId="xl99">
    <w:name w:val="xl99"/>
    <w:basedOn w:val="Normal"/>
    <w:rsid w:val="008F03EB"/>
    <w:pPr>
      <w:pBdr>
        <w:top w:val="single" w:sz="4" w:space="0" w:color="auto"/>
        <w:left w:val="single" w:sz="8" w:space="0" w:color="auto"/>
        <w:right w:val="single" w:sz="4" w:space="0" w:color="auto"/>
      </w:pBdr>
      <w:shd w:val="clear" w:color="000000" w:fill="D9E1F2"/>
      <w:overflowPunct/>
      <w:autoSpaceDE/>
      <w:autoSpaceDN/>
      <w:adjustRightInd/>
      <w:spacing w:before="100" w:beforeAutospacing="1" w:after="100" w:afterAutospacing="1" w:line="240" w:lineRule="auto"/>
      <w:jc w:val="center"/>
      <w:textAlignment w:val="center"/>
    </w:pPr>
    <w:rPr>
      <w:b/>
      <w:bCs/>
      <w:sz w:val="24"/>
      <w:szCs w:val="24"/>
      <w:lang w:eastAsia="en-GB"/>
    </w:rPr>
  </w:style>
  <w:style w:type="paragraph" w:customStyle="1" w:styleId="xl100">
    <w:name w:val="xl100"/>
    <w:basedOn w:val="Normal"/>
    <w:rsid w:val="008F03EB"/>
    <w:pPr>
      <w:pBdr>
        <w:top w:val="single" w:sz="4" w:space="0" w:color="auto"/>
        <w:left w:val="single" w:sz="4" w:space="0" w:color="auto"/>
        <w:right w:val="single" w:sz="4" w:space="0" w:color="auto"/>
      </w:pBdr>
      <w:shd w:val="clear" w:color="000000" w:fill="D9E1F2"/>
      <w:overflowPunct/>
      <w:autoSpaceDE/>
      <w:autoSpaceDN/>
      <w:adjustRightInd/>
      <w:spacing w:before="100" w:beforeAutospacing="1" w:after="100" w:afterAutospacing="1" w:line="240" w:lineRule="auto"/>
      <w:jc w:val="center"/>
      <w:textAlignment w:val="center"/>
    </w:pPr>
    <w:rPr>
      <w:b/>
      <w:bCs/>
      <w:sz w:val="24"/>
      <w:szCs w:val="24"/>
      <w:lang w:eastAsia="en-GB"/>
    </w:rPr>
  </w:style>
  <w:style w:type="paragraph" w:customStyle="1" w:styleId="xl101">
    <w:name w:val="xl101"/>
    <w:basedOn w:val="Normal"/>
    <w:rsid w:val="008F03EB"/>
    <w:pPr>
      <w:pBdr>
        <w:top w:val="single" w:sz="8" w:space="0" w:color="auto"/>
        <w:left w:val="single" w:sz="8" w:space="0" w:color="auto"/>
        <w:right w:val="single" w:sz="8" w:space="0" w:color="auto"/>
      </w:pBdr>
      <w:shd w:val="clear" w:color="000000" w:fill="FCE4D6"/>
      <w:overflowPunct/>
      <w:autoSpaceDE/>
      <w:autoSpaceDN/>
      <w:adjustRightInd/>
      <w:spacing w:before="100" w:beforeAutospacing="1" w:after="100" w:afterAutospacing="1" w:line="240" w:lineRule="auto"/>
      <w:jc w:val="center"/>
      <w:textAlignment w:val="auto"/>
    </w:pPr>
    <w:rPr>
      <w:b/>
      <w:bCs/>
      <w:sz w:val="24"/>
      <w:szCs w:val="24"/>
      <w:lang w:eastAsia="en-GB"/>
    </w:rPr>
  </w:style>
  <w:style w:type="paragraph" w:customStyle="1" w:styleId="xl102">
    <w:name w:val="xl102"/>
    <w:basedOn w:val="Normal"/>
    <w:rsid w:val="008F03EB"/>
    <w:pPr>
      <w:pBdr>
        <w:top w:val="single" w:sz="8" w:space="0" w:color="auto"/>
        <w:left w:val="single" w:sz="4" w:space="0" w:color="auto"/>
        <w:right w:val="single" w:sz="8" w:space="0" w:color="auto"/>
      </w:pBdr>
      <w:shd w:val="clear" w:color="000000" w:fill="D9E1F2"/>
      <w:overflowPunct/>
      <w:autoSpaceDE/>
      <w:autoSpaceDN/>
      <w:adjustRightInd/>
      <w:spacing w:before="100" w:beforeAutospacing="1" w:after="100" w:afterAutospacing="1" w:line="240" w:lineRule="auto"/>
      <w:jc w:val="center"/>
      <w:textAlignment w:val="center"/>
    </w:pPr>
    <w:rPr>
      <w:b/>
      <w:bCs/>
      <w:sz w:val="24"/>
      <w:szCs w:val="24"/>
      <w:lang w:eastAsia="en-GB"/>
    </w:rPr>
  </w:style>
  <w:style w:type="paragraph" w:customStyle="1" w:styleId="xl103">
    <w:name w:val="xl103"/>
    <w:basedOn w:val="Normal"/>
    <w:rsid w:val="008F03EB"/>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line="240" w:lineRule="auto"/>
      <w:jc w:val="center"/>
      <w:textAlignment w:val="center"/>
    </w:pPr>
    <w:rPr>
      <w:sz w:val="24"/>
      <w:szCs w:val="24"/>
      <w:lang w:eastAsia="en-GB"/>
    </w:rPr>
  </w:style>
  <w:style w:type="paragraph" w:customStyle="1" w:styleId="xl104">
    <w:name w:val="xl104"/>
    <w:basedOn w:val="Normal"/>
    <w:rsid w:val="008F03EB"/>
    <w:pPr>
      <w:pBdr>
        <w:left w:val="single" w:sz="8" w:space="0" w:color="auto"/>
      </w:pBdr>
      <w:shd w:val="clear" w:color="000000" w:fill="FCE4D6"/>
      <w:overflowPunct/>
      <w:autoSpaceDE/>
      <w:autoSpaceDN/>
      <w:adjustRightInd/>
      <w:spacing w:before="100" w:beforeAutospacing="1" w:after="100" w:afterAutospacing="1" w:line="240" w:lineRule="auto"/>
      <w:jc w:val="center"/>
      <w:textAlignment w:val="center"/>
    </w:pPr>
    <w:rPr>
      <w:b/>
      <w:bCs/>
      <w:sz w:val="24"/>
      <w:szCs w:val="24"/>
      <w:lang w:eastAsia="en-GB"/>
    </w:rPr>
  </w:style>
  <w:style w:type="paragraph" w:customStyle="1" w:styleId="xl105">
    <w:name w:val="xl105"/>
    <w:basedOn w:val="Normal"/>
    <w:rsid w:val="008F03EB"/>
    <w:pPr>
      <w:pBdr>
        <w:top w:val="single" w:sz="8" w:space="0" w:color="auto"/>
        <w:left w:val="single" w:sz="8" w:space="0" w:color="auto"/>
        <w:bottom w:val="single" w:sz="4" w:space="0" w:color="auto"/>
        <w:right w:val="single" w:sz="4" w:space="0" w:color="auto"/>
      </w:pBdr>
      <w:shd w:val="clear" w:color="000000" w:fill="D9E1F2"/>
      <w:overflowPunct/>
      <w:autoSpaceDE/>
      <w:autoSpaceDN/>
      <w:adjustRightInd/>
      <w:spacing w:before="100" w:beforeAutospacing="1" w:after="100" w:afterAutospacing="1" w:line="240" w:lineRule="auto"/>
      <w:jc w:val="left"/>
      <w:textAlignment w:val="center"/>
    </w:pPr>
    <w:rPr>
      <w:b/>
      <w:bCs/>
      <w:sz w:val="24"/>
      <w:szCs w:val="24"/>
      <w:lang w:eastAsia="en-GB"/>
    </w:rPr>
  </w:style>
  <w:style w:type="paragraph" w:customStyle="1" w:styleId="xl106">
    <w:name w:val="xl106"/>
    <w:basedOn w:val="Normal"/>
    <w:rsid w:val="008F03EB"/>
    <w:pPr>
      <w:pBdr>
        <w:top w:val="single" w:sz="8"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line="240" w:lineRule="auto"/>
      <w:jc w:val="center"/>
      <w:textAlignment w:val="center"/>
    </w:pPr>
    <w:rPr>
      <w:b/>
      <w:bCs/>
      <w:sz w:val="24"/>
      <w:szCs w:val="24"/>
      <w:lang w:eastAsia="en-GB"/>
    </w:rPr>
  </w:style>
  <w:style w:type="paragraph" w:customStyle="1" w:styleId="xl107">
    <w:name w:val="xl107"/>
    <w:basedOn w:val="Normal"/>
    <w:rsid w:val="008F03EB"/>
    <w:pPr>
      <w:pBdr>
        <w:top w:val="single" w:sz="8"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line="240" w:lineRule="auto"/>
      <w:jc w:val="center"/>
      <w:textAlignment w:val="center"/>
    </w:pPr>
    <w:rPr>
      <w:b/>
      <w:bCs/>
      <w:sz w:val="24"/>
      <w:szCs w:val="24"/>
      <w:lang w:eastAsia="en-GB"/>
    </w:rPr>
  </w:style>
  <w:style w:type="paragraph" w:customStyle="1" w:styleId="xl108">
    <w:name w:val="xl108"/>
    <w:basedOn w:val="Normal"/>
    <w:rsid w:val="008F03EB"/>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line="240" w:lineRule="auto"/>
      <w:jc w:val="left"/>
      <w:textAlignment w:val="center"/>
    </w:pPr>
    <w:rPr>
      <w:sz w:val="24"/>
      <w:szCs w:val="24"/>
      <w:lang w:eastAsia="en-GB"/>
    </w:rPr>
  </w:style>
  <w:style w:type="paragraph" w:customStyle="1" w:styleId="xl109">
    <w:name w:val="xl109"/>
    <w:basedOn w:val="Normal"/>
    <w:rsid w:val="008F03EB"/>
    <w:pPr>
      <w:pBdr>
        <w:top w:val="single" w:sz="8" w:space="0" w:color="auto"/>
        <w:left w:val="single" w:sz="4" w:space="0" w:color="auto"/>
        <w:bottom w:val="single" w:sz="4" w:space="0" w:color="auto"/>
        <w:right w:val="single" w:sz="4" w:space="0" w:color="auto"/>
      </w:pBdr>
      <w:overflowPunct/>
      <w:autoSpaceDE/>
      <w:autoSpaceDN/>
      <w:adjustRightInd/>
      <w:spacing w:before="100" w:beforeAutospacing="1" w:after="100" w:afterAutospacing="1" w:line="240" w:lineRule="auto"/>
      <w:jc w:val="left"/>
      <w:textAlignment w:val="center"/>
    </w:pPr>
    <w:rPr>
      <w:sz w:val="24"/>
      <w:szCs w:val="24"/>
      <w:lang w:eastAsia="en-GB"/>
    </w:rPr>
  </w:style>
  <w:style w:type="paragraph" w:customStyle="1" w:styleId="xl110">
    <w:name w:val="xl110"/>
    <w:basedOn w:val="Normal"/>
    <w:rsid w:val="008F03EB"/>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line="240" w:lineRule="auto"/>
      <w:jc w:val="left"/>
      <w:textAlignment w:val="center"/>
    </w:pPr>
    <w:rPr>
      <w:sz w:val="24"/>
      <w:szCs w:val="24"/>
      <w:lang w:eastAsia="en-GB"/>
    </w:rPr>
  </w:style>
  <w:style w:type="paragraph" w:customStyle="1" w:styleId="xl111">
    <w:name w:val="xl111"/>
    <w:basedOn w:val="Normal"/>
    <w:rsid w:val="008F03EB"/>
    <w:pPr>
      <w:pBdr>
        <w:top w:val="single" w:sz="8" w:space="0" w:color="auto"/>
        <w:left w:val="single" w:sz="4" w:space="0" w:color="auto"/>
        <w:bottom w:val="single" w:sz="4" w:space="0" w:color="auto"/>
        <w:right w:val="single" w:sz="8" w:space="0" w:color="auto"/>
      </w:pBdr>
      <w:overflowPunct/>
      <w:autoSpaceDE/>
      <w:autoSpaceDN/>
      <w:adjustRightInd/>
      <w:spacing w:before="100" w:beforeAutospacing="1" w:after="100" w:afterAutospacing="1" w:line="240" w:lineRule="auto"/>
      <w:jc w:val="left"/>
      <w:textAlignment w:val="center"/>
    </w:pPr>
    <w:rPr>
      <w:sz w:val="24"/>
      <w:szCs w:val="24"/>
      <w:lang w:eastAsia="en-GB"/>
    </w:rPr>
  </w:style>
  <w:style w:type="paragraph" w:customStyle="1" w:styleId="xl112">
    <w:name w:val="xl112"/>
    <w:basedOn w:val="Normal"/>
    <w:rsid w:val="008F03EB"/>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line="240" w:lineRule="auto"/>
      <w:jc w:val="left"/>
      <w:textAlignment w:val="center"/>
    </w:pPr>
    <w:rPr>
      <w:sz w:val="24"/>
      <w:szCs w:val="24"/>
      <w:lang w:eastAsia="en-GB"/>
    </w:rPr>
  </w:style>
  <w:style w:type="paragraph" w:customStyle="1" w:styleId="xl113">
    <w:name w:val="xl113"/>
    <w:basedOn w:val="Normal"/>
    <w:rsid w:val="008F03EB"/>
    <w:pPr>
      <w:pBdr>
        <w:top w:val="single" w:sz="4" w:space="0" w:color="auto"/>
        <w:left w:val="single" w:sz="4" w:space="0" w:color="auto"/>
        <w:bottom w:val="single" w:sz="4" w:space="0" w:color="auto"/>
        <w:right w:val="single" w:sz="8" w:space="0" w:color="auto"/>
      </w:pBdr>
      <w:overflowPunct/>
      <w:autoSpaceDE/>
      <w:autoSpaceDN/>
      <w:adjustRightInd/>
      <w:spacing w:before="100" w:beforeAutospacing="1" w:after="100" w:afterAutospacing="1" w:line="240" w:lineRule="auto"/>
      <w:jc w:val="left"/>
      <w:textAlignment w:val="center"/>
    </w:pPr>
    <w:rPr>
      <w:sz w:val="24"/>
      <w:szCs w:val="24"/>
      <w:lang w:eastAsia="en-GB"/>
    </w:rPr>
  </w:style>
  <w:style w:type="paragraph" w:customStyle="1" w:styleId="xl114">
    <w:name w:val="xl114"/>
    <w:basedOn w:val="Normal"/>
    <w:rsid w:val="008F03EB"/>
    <w:pPr>
      <w:pBdr>
        <w:left w:val="single" w:sz="8" w:space="0" w:color="auto"/>
        <w:bottom w:val="single" w:sz="4" w:space="0" w:color="auto"/>
      </w:pBdr>
      <w:shd w:val="clear" w:color="000000" w:fill="FCE4D6"/>
      <w:overflowPunct/>
      <w:autoSpaceDE/>
      <w:autoSpaceDN/>
      <w:adjustRightInd/>
      <w:spacing w:before="100" w:beforeAutospacing="1" w:after="100" w:afterAutospacing="1" w:line="240" w:lineRule="auto"/>
      <w:jc w:val="left"/>
      <w:textAlignment w:val="center"/>
    </w:pPr>
    <w:rPr>
      <w:sz w:val="24"/>
      <w:szCs w:val="24"/>
      <w:lang w:eastAsia="en-GB"/>
    </w:rPr>
  </w:style>
  <w:style w:type="paragraph" w:customStyle="1" w:styleId="xl115">
    <w:name w:val="xl115"/>
    <w:basedOn w:val="Normal"/>
    <w:rsid w:val="008F03EB"/>
    <w:pPr>
      <w:pBdr>
        <w:left w:val="single" w:sz="8" w:space="0" w:color="auto"/>
        <w:bottom w:val="single" w:sz="4" w:space="0" w:color="auto"/>
        <w:right w:val="single" w:sz="8" w:space="0" w:color="auto"/>
      </w:pBdr>
      <w:shd w:val="clear" w:color="000000" w:fill="FCE4D6"/>
      <w:overflowPunct/>
      <w:autoSpaceDE/>
      <w:autoSpaceDN/>
      <w:adjustRightInd/>
      <w:spacing w:before="100" w:beforeAutospacing="1" w:after="100" w:afterAutospacing="1" w:line="240" w:lineRule="auto"/>
      <w:jc w:val="left"/>
      <w:textAlignment w:val="center"/>
    </w:pPr>
    <w:rPr>
      <w:sz w:val="24"/>
      <w:szCs w:val="24"/>
      <w:lang w:eastAsia="en-GB"/>
    </w:rPr>
  </w:style>
  <w:style w:type="paragraph" w:customStyle="1" w:styleId="xl116">
    <w:name w:val="xl116"/>
    <w:basedOn w:val="Normal"/>
    <w:rsid w:val="008F03EB"/>
    <w:pPr>
      <w:pBdr>
        <w:top w:val="single" w:sz="4" w:space="0" w:color="auto"/>
        <w:left w:val="single" w:sz="8" w:space="0" w:color="auto"/>
        <w:bottom w:val="single" w:sz="4" w:space="0" w:color="auto"/>
      </w:pBdr>
      <w:shd w:val="clear" w:color="000000" w:fill="FCE4D6"/>
      <w:overflowPunct/>
      <w:autoSpaceDE/>
      <w:autoSpaceDN/>
      <w:adjustRightInd/>
      <w:spacing w:before="100" w:beforeAutospacing="1" w:after="100" w:afterAutospacing="1" w:line="240" w:lineRule="auto"/>
      <w:jc w:val="left"/>
      <w:textAlignment w:val="center"/>
    </w:pPr>
    <w:rPr>
      <w:sz w:val="24"/>
      <w:szCs w:val="24"/>
      <w:lang w:eastAsia="en-GB"/>
    </w:rPr>
  </w:style>
  <w:style w:type="paragraph" w:customStyle="1" w:styleId="xl117">
    <w:name w:val="xl117"/>
    <w:basedOn w:val="Normal"/>
    <w:rsid w:val="008F03EB"/>
    <w:pPr>
      <w:pBdr>
        <w:top w:val="single" w:sz="4" w:space="0" w:color="auto"/>
        <w:left w:val="single" w:sz="8" w:space="0" w:color="auto"/>
        <w:bottom w:val="single" w:sz="4" w:space="0" w:color="auto"/>
        <w:right w:val="single" w:sz="8" w:space="0" w:color="auto"/>
      </w:pBdr>
      <w:shd w:val="clear" w:color="000000" w:fill="FCE4D6"/>
      <w:overflowPunct/>
      <w:autoSpaceDE/>
      <w:autoSpaceDN/>
      <w:adjustRightInd/>
      <w:spacing w:before="100" w:beforeAutospacing="1" w:after="100" w:afterAutospacing="1" w:line="240" w:lineRule="auto"/>
      <w:jc w:val="left"/>
      <w:textAlignment w:val="center"/>
    </w:pPr>
    <w:rPr>
      <w:sz w:val="24"/>
      <w:szCs w:val="24"/>
      <w:lang w:eastAsia="en-GB"/>
    </w:rPr>
  </w:style>
  <w:style w:type="paragraph" w:customStyle="1" w:styleId="xl118">
    <w:name w:val="xl118"/>
    <w:basedOn w:val="Normal"/>
    <w:rsid w:val="008F03EB"/>
    <w:pPr>
      <w:pBdr>
        <w:top w:val="single" w:sz="4" w:space="0" w:color="auto"/>
        <w:left w:val="single" w:sz="8" w:space="0" w:color="auto"/>
      </w:pBdr>
      <w:shd w:val="clear" w:color="000000" w:fill="FCE4D6"/>
      <w:overflowPunct/>
      <w:autoSpaceDE/>
      <w:autoSpaceDN/>
      <w:adjustRightInd/>
      <w:spacing w:before="100" w:beforeAutospacing="1" w:after="100" w:afterAutospacing="1" w:line="240" w:lineRule="auto"/>
      <w:jc w:val="left"/>
      <w:textAlignment w:val="center"/>
    </w:pPr>
    <w:rPr>
      <w:sz w:val="24"/>
      <w:szCs w:val="24"/>
      <w:lang w:eastAsia="en-GB"/>
    </w:rPr>
  </w:style>
  <w:style w:type="paragraph" w:customStyle="1" w:styleId="xl119">
    <w:name w:val="xl119"/>
    <w:basedOn w:val="Normal"/>
    <w:rsid w:val="008F03EB"/>
    <w:pPr>
      <w:pBdr>
        <w:top w:val="single" w:sz="4" w:space="0" w:color="auto"/>
        <w:left w:val="single" w:sz="8" w:space="0" w:color="auto"/>
        <w:right w:val="single" w:sz="8" w:space="0" w:color="auto"/>
      </w:pBdr>
      <w:shd w:val="clear" w:color="000000" w:fill="FCE4D6"/>
      <w:overflowPunct/>
      <w:autoSpaceDE/>
      <w:autoSpaceDN/>
      <w:adjustRightInd/>
      <w:spacing w:before="100" w:beforeAutospacing="1" w:after="100" w:afterAutospacing="1" w:line="240" w:lineRule="auto"/>
      <w:jc w:val="left"/>
      <w:textAlignment w:val="center"/>
    </w:pPr>
    <w:rPr>
      <w:sz w:val="24"/>
      <w:szCs w:val="24"/>
      <w:lang w:eastAsia="en-GB"/>
    </w:rPr>
  </w:style>
  <w:style w:type="paragraph" w:customStyle="1" w:styleId="xl120">
    <w:name w:val="xl120"/>
    <w:basedOn w:val="Normal"/>
    <w:rsid w:val="008F03EB"/>
    <w:pPr>
      <w:shd w:val="clear" w:color="000000" w:fill="D9E1F2"/>
      <w:overflowPunct/>
      <w:autoSpaceDE/>
      <w:autoSpaceDN/>
      <w:adjustRightInd/>
      <w:spacing w:before="100" w:beforeAutospacing="1" w:after="100" w:afterAutospacing="1" w:line="240" w:lineRule="auto"/>
      <w:jc w:val="left"/>
      <w:textAlignment w:val="center"/>
    </w:pPr>
    <w:rPr>
      <w:b/>
      <w:bCs/>
      <w:sz w:val="24"/>
      <w:szCs w:val="24"/>
      <w:lang w:eastAsia="en-GB"/>
    </w:rPr>
  </w:style>
  <w:style w:type="paragraph" w:customStyle="1" w:styleId="xl121">
    <w:name w:val="xl121"/>
    <w:basedOn w:val="Normal"/>
    <w:rsid w:val="008F03EB"/>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line="240" w:lineRule="auto"/>
      <w:jc w:val="left"/>
      <w:textAlignment w:val="center"/>
    </w:pPr>
    <w:rPr>
      <w:sz w:val="24"/>
      <w:szCs w:val="24"/>
      <w:lang w:eastAsia="en-GB"/>
    </w:rPr>
  </w:style>
  <w:style w:type="paragraph" w:customStyle="1" w:styleId="xl122">
    <w:name w:val="xl122"/>
    <w:basedOn w:val="Normal"/>
    <w:rsid w:val="008F03EB"/>
    <w:pPr>
      <w:pBdr>
        <w:top w:val="single" w:sz="4" w:space="0" w:color="auto"/>
        <w:left w:val="single" w:sz="4" w:space="0" w:color="auto"/>
        <w:bottom w:val="single" w:sz="8" w:space="0" w:color="auto"/>
        <w:right w:val="single" w:sz="4" w:space="0" w:color="auto"/>
      </w:pBdr>
      <w:overflowPunct/>
      <w:autoSpaceDE/>
      <w:autoSpaceDN/>
      <w:adjustRightInd/>
      <w:spacing w:before="100" w:beforeAutospacing="1" w:after="100" w:afterAutospacing="1" w:line="240" w:lineRule="auto"/>
      <w:jc w:val="left"/>
      <w:textAlignment w:val="center"/>
    </w:pPr>
    <w:rPr>
      <w:sz w:val="24"/>
      <w:szCs w:val="24"/>
      <w:lang w:eastAsia="en-GB"/>
    </w:rPr>
  </w:style>
  <w:style w:type="paragraph" w:customStyle="1" w:styleId="xl123">
    <w:name w:val="xl123"/>
    <w:basedOn w:val="Normal"/>
    <w:rsid w:val="008F03EB"/>
    <w:pPr>
      <w:pBdr>
        <w:top w:val="single" w:sz="4" w:space="0" w:color="auto"/>
        <w:left w:val="single" w:sz="4" w:space="0" w:color="auto"/>
        <w:bottom w:val="single" w:sz="8" w:space="0" w:color="auto"/>
        <w:right w:val="single" w:sz="8" w:space="0" w:color="auto"/>
      </w:pBdr>
      <w:overflowPunct/>
      <w:autoSpaceDE/>
      <w:autoSpaceDN/>
      <w:adjustRightInd/>
      <w:spacing w:before="100" w:beforeAutospacing="1" w:after="100" w:afterAutospacing="1" w:line="240" w:lineRule="auto"/>
      <w:jc w:val="left"/>
      <w:textAlignment w:val="center"/>
    </w:pPr>
    <w:rPr>
      <w:sz w:val="24"/>
      <w:szCs w:val="24"/>
      <w:lang w:eastAsia="en-GB"/>
    </w:rPr>
  </w:style>
  <w:style w:type="paragraph" w:customStyle="1" w:styleId="xl124">
    <w:name w:val="xl124"/>
    <w:basedOn w:val="Normal"/>
    <w:rsid w:val="008F03EB"/>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line="240" w:lineRule="auto"/>
      <w:jc w:val="center"/>
      <w:textAlignment w:val="center"/>
    </w:pPr>
    <w:rPr>
      <w:sz w:val="24"/>
      <w:szCs w:val="24"/>
      <w:lang w:eastAsia="en-GB"/>
    </w:rPr>
  </w:style>
  <w:style w:type="paragraph" w:customStyle="1" w:styleId="xl125">
    <w:name w:val="xl125"/>
    <w:basedOn w:val="Normal"/>
    <w:rsid w:val="008F03EB"/>
    <w:pPr>
      <w:pBdr>
        <w:top w:val="single" w:sz="4" w:space="0" w:color="auto"/>
        <w:left w:val="single" w:sz="4" w:space="0" w:color="auto"/>
        <w:bottom w:val="single" w:sz="8" w:space="0" w:color="auto"/>
        <w:right w:val="single" w:sz="4" w:space="0" w:color="auto"/>
      </w:pBdr>
      <w:overflowPunct/>
      <w:autoSpaceDE/>
      <w:autoSpaceDN/>
      <w:adjustRightInd/>
      <w:spacing w:before="100" w:beforeAutospacing="1" w:after="100" w:afterAutospacing="1" w:line="240" w:lineRule="auto"/>
      <w:jc w:val="center"/>
      <w:textAlignment w:val="center"/>
    </w:pPr>
    <w:rPr>
      <w:sz w:val="24"/>
      <w:szCs w:val="24"/>
      <w:lang w:eastAsia="en-GB"/>
    </w:rPr>
  </w:style>
  <w:style w:type="paragraph" w:customStyle="1" w:styleId="xl126">
    <w:name w:val="xl126"/>
    <w:basedOn w:val="Normal"/>
    <w:rsid w:val="008F03EB"/>
    <w:pPr>
      <w:pBdr>
        <w:top w:val="single" w:sz="8" w:space="0" w:color="auto"/>
        <w:left w:val="single" w:sz="4" w:space="0" w:color="auto"/>
        <w:bottom w:val="single" w:sz="4" w:space="0" w:color="auto"/>
        <w:right w:val="single" w:sz="4" w:space="0" w:color="auto"/>
      </w:pBdr>
      <w:overflowPunct/>
      <w:autoSpaceDE/>
      <w:autoSpaceDN/>
      <w:adjustRightInd/>
      <w:spacing w:before="100" w:beforeAutospacing="1" w:after="100" w:afterAutospacing="1" w:line="240" w:lineRule="auto"/>
      <w:jc w:val="center"/>
      <w:textAlignment w:val="center"/>
    </w:pPr>
    <w:rPr>
      <w:sz w:val="24"/>
      <w:szCs w:val="24"/>
      <w:lang w:eastAsia="en-GB"/>
    </w:rPr>
  </w:style>
  <w:style w:type="paragraph" w:customStyle="1" w:styleId="xl127">
    <w:name w:val="xl127"/>
    <w:basedOn w:val="Normal"/>
    <w:rsid w:val="008F03EB"/>
    <w:pPr>
      <w:pBdr>
        <w:top w:val="single" w:sz="8" w:space="0" w:color="auto"/>
        <w:left w:val="single" w:sz="8" w:space="0" w:color="auto"/>
        <w:right w:val="single" w:sz="8" w:space="0" w:color="auto"/>
      </w:pBdr>
      <w:shd w:val="clear" w:color="000000" w:fill="D9E1F2"/>
      <w:overflowPunct/>
      <w:autoSpaceDE/>
      <w:autoSpaceDN/>
      <w:adjustRightInd/>
      <w:spacing w:before="100" w:beforeAutospacing="1" w:after="100" w:afterAutospacing="1" w:line="240" w:lineRule="auto"/>
      <w:jc w:val="center"/>
      <w:textAlignment w:val="center"/>
    </w:pPr>
    <w:rPr>
      <w:b/>
      <w:bCs/>
      <w:sz w:val="24"/>
      <w:szCs w:val="24"/>
      <w:lang w:eastAsia="en-GB"/>
    </w:rPr>
  </w:style>
  <w:style w:type="paragraph" w:customStyle="1" w:styleId="xl128">
    <w:name w:val="xl128"/>
    <w:basedOn w:val="Normal"/>
    <w:rsid w:val="008F03EB"/>
    <w:pPr>
      <w:pBdr>
        <w:left w:val="single" w:sz="8" w:space="0" w:color="auto"/>
        <w:bottom w:val="single" w:sz="8" w:space="0" w:color="auto"/>
        <w:right w:val="single" w:sz="8" w:space="0" w:color="auto"/>
      </w:pBdr>
      <w:shd w:val="clear" w:color="000000" w:fill="D9E1F2"/>
      <w:overflowPunct/>
      <w:autoSpaceDE/>
      <w:autoSpaceDN/>
      <w:adjustRightInd/>
      <w:spacing w:before="100" w:beforeAutospacing="1" w:after="100" w:afterAutospacing="1" w:line="240" w:lineRule="auto"/>
      <w:jc w:val="center"/>
      <w:textAlignment w:val="center"/>
    </w:pPr>
    <w:rPr>
      <w:b/>
      <w:bCs/>
      <w:sz w:val="24"/>
      <w:szCs w:val="24"/>
      <w:lang w:eastAsia="en-GB"/>
    </w:rPr>
  </w:style>
  <w:style w:type="paragraph" w:customStyle="1" w:styleId="xl129">
    <w:name w:val="xl129"/>
    <w:basedOn w:val="Normal"/>
    <w:rsid w:val="008F03EB"/>
    <w:pPr>
      <w:pBdr>
        <w:top w:val="single" w:sz="8" w:space="0" w:color="auto"/>
        <w:left w:val="single" w:sz="8" w:space="0" w:color="auto"/>
        <w:bottom w:val="single" w:sz="4" w:space="0" w:color="auto"/>
        <w:right w:val="single" w:sz="4" w:space="0" w:color="auto"/>
      </w:pBdr>
      <w:shd w:val="clear" w:color="000000" w:fill="D9E1F2"/>
      <w:overflowPunct/>
      <w:autoSpaceDE/>
      <w:autoSpaceDN/>
      <w:adjustRightInd/>
      <w:spacing w:before="100" w:beforeAutospacing="1" w:after="100" w:afterAutospacing="1" w:line="240" w:lineRule="auto"/>
      <w:jc w:val="left"/>
      <w:textAlignment w:val="auto"/>
    </w:pPr>
    <w:rPr>
      <w:b/>
      <w:bCs/>
      <w:sz w:val="24"/>
      <w:szCs w:val="24"/>
      <w:lang w:eastAsia="en-GB"/>
    </w:rPr>
  </w:style>
  <w:style w:type="paragraph" w:customStyle="1" w:styleId="xl130">
    <w:name w:val="xl130"/>
    <w:basedOn w:val="Normal"/>
    <w:rsid w:val="008F03EB"/>
    <w:pPr>
      <w:pBdr>
        <w:top w:val="single" w:sz="8"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line="240" w:lineRule="auto"/>
      <w:jc w:val="left"/>
      <w:textAlignment w:val="auto"/>
    </w:pPr>
    <w:rPr>
      <w:b/>
      <w:bCs/>
      <w:sz w:val="24"/>
      <w:szCs w:val="24"/>
      <w:lang w:eastAsia="en-GB"/>
    </w:rPr>
  </w:style>
  <w:style w:type="paragraph" w:customStyle="1" w:styleId="xl131">
    <w:name w:val="xl131"/>
    <w:basedOn w:val="Normal"/>
    <w:rsid w:val="008F03EB"/>
    <w:pPr>
      <w:pBdr>
        <w:top w:val="single" w:sz="8" w:space="0" w:color="auto"/>
        <w:left w:val="single" w:sz="8" w:space="0" w:color="auto"/>
      </w:pBdr>
      <w:shd w:val="clear" w:color="000000" w:fill="D9E1F2"/>
      <w:overflowPunct/>
      <w:autoSpaceDE/>
      <w:autoSpaceDN/>
      <w:adjustRightInd/>
      <w:spacing w:before="100" w:beforeAutospacing="1" w:after="100" w:afterAutospacing="1" w:line="240" w:lineRule="auto"/>
      <w:jc w:val="left"/>
      <w:textAlignment w:val="auto"/>
    </w:pPr>
    <w:rPr>
      <w:b/>
      <w:bCs/>
      <w:sz w:val="24"/>
      <w:szCs w:val="24"/>
      <w:lang w:eastAsia="en-GB"/>
    </w:rPr>
  </w:style>
  <w:style w:type="paragraph" w:customStyle="1" w:styleId="xl132">
    <w:name w:val="xl132"/>
    <w:basedOn w:val="Normal"/>
    <w:rsid w:val="008F03EB"/>
    <w:pPr>
      <w:pBdr>
        <w:top w:val="single" w:sz="8" w:space="0" w:color="auto"/>
      </w:pBdr>
      <w:shd w:val="clear" w:color="000000" w:fill="D9E1F2"/>
      <w:overflowPunct/>
      <w:autoSpaceDE/>
      <w:autoSpaceDN/>
      <w:adjustRightInd/>
      <w:spacing w:before="100" w:beforeAutospacing="1" w:after="100" w:afterAutospacing="1" w:line="240" w:lineRule="auto"/>
      <w:jc w:val="left"/>
      <w:textAlignment w:val="auto"/>
    </w:pPr>
    <w:rPr>
      <w:b/>
      <w:bCs/>
      <w:sz w:val="24"/>
      <w:szCs w:val="24"/>
      <w:lang w:eastAsia="en-GB"/>
    </w:rPr>
  </w:style>
  <w:style w:type="paragraph" w:customStyle="1" w:styleId="xl133">
    <w:name w:val="xl133"/>
    <w:basedOn w:val="Normal"/>
    <w:rsid w:val="008F03EB"/>
    <w:pPr>
      <w:pBdr>
        <w:top w:val="single" w:sz="8" w:space="0" w:color="auto"/>
        <w:left w:val="single" w:sz="8" w:space="0" w:color="auto"/>
        <w:bottom w:val="single" w:sz="8" w:space="0" w:color="auto"/>
      </w:pBdr>
      <w:shd w:val="clear" w:color="000000" w:fill="D9E1F2"/>
      <w:overflowPunct/>
      <w:autoSpaceDE/>
      <w:autoSpaceDN/>
      <w:adjustRightInd/>
      <w:spacing w:before="100" w:beforeAutospacing="1" w:after="100" w:afterAutospacing="1" w:line="240" w:lineRule="auto"/>
      <w:jc w:val="left"/>
      <w:textAlignment w:val="auto"/>
    </w:pPr>
    <w:rPr>
      <w:b/>
      <w:bCs/>
      <w:sz w:val="24"/>
      <w:szCs w:val="24"/>
      <w:lang w:eastAsia="en-GB"/>
    </w:rPr>
  </w:style>
  <w:style w:type="paragraph" w:customStyle="1" w:styleId="xl134">
    <w:name w:val="xl134"/>
    <w:basedOn w:val="Normal"/>
    <w:rsid w:val="008F03EB"/>
    <w:pPr>
      <w:pBdr>
        <w:top w:val="single" w:sz="8" w:space="0" w:color="auto"/>
        <w:bottom w:val="single" w:sz="8" w:space="0" w:color="auto"/>
      </w:pBdr>
      <w:shd w:val="clear" w:color="000000" w:fill="D9E1F2"/>
      <w:overflowPunct/>
      <w:autoSpaceDE/>
      <w:autoSpaceDN/>
      <w:adjustRightInd/>
      <w:spacing w:before="100" w:beforeAutospacing="1" w:after="100" w:afterAutospacing="1" w:line="240" w:lineRule="auto"/>
      <w:jc w:val="left"/>
      <w:textAlignment w:val="auto"/>
    </w:pPr>
    <w:rPr>
      <w:b/>
      <w:bCs/>
      <w:sz w:val="24"/>
      <w:szCs w:val="24"/>
      <w:lang w:eastAsia="en-GB"/>
    </w:rPr>
  </w:style>
  <w:style w:type="paragraph" w:customStyle="1" w:styleId="xl135">
    <w:name w:val="xl135"/>
    <w:basedOn w:val="Normal"/>
    <w:rsid w:val="008F03EB"/>
    <w:pPr>
      <w:pBdr>
        <w:top w:val="single" w:sz="8" w:space="0" w:color="auto"/>
        <w:bottom w:val="single" w:sz="8" w:space="0" w:color="auto"/>
        <w:right w:val="single" w:sz="8" w:space="0" w:color="auto"/>
      </w:pBdr>
      <w:shd w:val="clear" w:color="000000" w:fill="D9E1F2"/>
      <w:overflowPunct/>
      <w:autoSpaceDE/>
      <w:autoSpaceDN/>
      <w:adjustRightInd/>
      <w:spacing w:before="100" w:beforeAutospacing="1" w:after="100" w:afterAutospacing="1" w:line="240" w:lineRule="auto"/>
      <w:jc w:val="left"/>
      <w:textAlignment w:val="auto"/>
    </w:pPr>
    <w:rPr>
      <w:b/>
      <w:bCs/>
      <w:sz w:val="24"/>
      <w:szCs w:val="24"/>
      <w:lang w:eastAsia="en-GB"/>
    </w:rPr>
  </w:style>
  <w:style w:type="paragraph" w:customStyle="1" w:styleId="xl136">
    <w:name w:val="xl136"/>
    <w:basedOn w:val="Normal"/>
    <w:rsid w:val="008F03EB"/>
    <w:pPr>
      <w:pBdr>
        <w:top w:val="single" w:sz="8" w:space="0" w:color="auto"/>
        <w:right w:val="single" w:sz="8" w:space="0" w:color="auto"/>
      </w:pBdr>
      <w:shd w:val="clear" w:color="000000" w:fill="D9E1F2"/>
      <w:overflowPunct/>
      <w:autoSpaceDE/>
      <w:autoSpaceDN/>
      <w:adjustRightInd/>
      <w:spacing w:before="100" w:beforeAutospacing="1" w:after="100" w:afterAutospacing="1" w:line="240" w:lineRule="auto"/>
      <w:jc w:val="left"/>
      <w:textAlignment w:val="auto"/>
    </w:pPr>
    <w:rPr>
      <w:b/>
      <w:bCs/>
      <w:sz w:val="24"/>
      <w:szCs w:val="24"/>
      <w:lang w:eastAsia="en-GB"/>
    </w:rPr>
  </w:style>
  <w:style w:type="paragraph" w:customStyle="1" w:styleId="xl137">
    <w:name w:val="xl137"/>
    <w:basedOn w:val="Normal"/>
    <w:rsid w:val="008F03EB"/>
    <w:pPr>
      <w:pBdr>
        <w:top w:val="single" w:sz="8" w:space="0" w:color="auto"/>
        <w:left w:val="single" w:sz="8" w:space="0" w:color="auto"/>
        <w:right w:val="single" w:sz="8" w:space="0" w:color="auto"/>
      </w:pBdr>
      <w:shd w:val="clear" w:color="000000" w:fill="D9E1F2"/>
      <w:overflowPunct/>
      <w:autoSpaceDE/>
      <w:autoSpaceDN/>
      <w:adjustRightInd/>
      <w:spacing w:before="100" w:beforeAutospacing="1" w:after="100" w:afterAutospacing="1" w:line="240" w:lineRule="auto"/>
      <w:jc w:val="left"/>
      <w:textAlignment w:val="center"/>
    </w:pPr>
    <w:rPr>
      <w:b/>
      <w:bCs/>
      <w:sz w:val="24"/>
      <w:szCs w:val="24"/>
      <w:lang w:eastAsia="en-GB"/>
    </w:rPr>
  </w:style>
  <w:style w:type="paragraph" w:customStyle="1" w:styleId="xl138">
    <w:name w:val="xl138"/>
    <w:basedOn w:val="Normal"/>
    <w:rsid w:val="008F03EB"/>
    <w:pPr>
      <w:pBdr>
        <w:left w:val="single" w:sz="8" w:space="0" w:color="auto"/>
        <w:bottom w:val="single" w:sz="8" w:space="0" w:color="auto"/>
        <w:right w:val="single" w:sz="8" w:space="0" w:color="auto"/>
      </w:pBdr>
      <w:shd w:val="clear" w:color="000000" w:fill="D9E1F2"/>
      <w:overflowPunct/>
      <w:autoSpaceDE/>
      <w:autoSpaceDN/>
      <w:adjustRightInd/>
      <w:spacing w:before="100" w:beforeAutospacing="1" w:after="100" w:afterAutospacing="1" w:line="240" w:lineRule="auto"/>
      <w:jc w:val="left"/>
      <w:textAlignment w:val="center"/>
    </w:pPr>
    <w:rPr>
      <w:b/>
      <w:bCs/>
      <w:sz w:val="24"/>
      <w:szCs w:val="24"/>
      <w:lang w:eastAsia="en-GB"/>
    </w:rPr>
  </w:style>
  <w:style w:type="character" w:styleId="Mention">
    <w:name w:val="Mention"/>
    <w:basedOn w:val="DefaultParagraphFont"/>
    <w:uiPriority w:val="99"/>
    <w:unhideWhenUsed/>
    <w:rsid w:val="00F37FC8"/>
    <w:rPr>
      <w:color w:val="2B579A"/>
      <w:shd w:val="clear" w:color="auto" w:fill="E1DFDD"/>
    </w:rPr>
  </w:style>
  <w:style w:type="paragraph" w:styleId="Revision">
    <w:name w:val="Revision"/>
    <w:hidden/>
    <w:uiPriority w:val="99"/>
    <w:semiHidden/>
    <w:rsid w:val="007574F5"/>
    <w:rPr>
      <w:lang w:eastAsia="en-US"/>
    </w:rPr>
  </w:style>
  <w:style w:type="character" w:customStyle="1" w:styleId="normaltextrun">
    <w:name w:val="normaltextrun"/>
    <w:basedOn w:val="DefaultParagraphFont"/>
    <w:rsid w:val="000025FB"/>
  </w:style>
  <w:style w:type="character" w:customStyle="1" w:styleId="eop">
    <w:name w:val="eop"/>
    <w:basedOn w:val="DefaultParagraphFont"/>
    <w:rsid w:val="000025FB"/>
  </w:style>
  <w:style w:type="table" w:customStyle="1" w:styleId="a">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m4vzuHdTLXJYdya5Wdo+nO7EcHQ==">CgMxLjAyCGguZ2pkZ3hzMgloLjMwajB6bGw4AHIhMUsxZl9mVVViaXYzWks0MmJBOUxXY3lieUlmaF9xUXdT</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14</Pages>
  <Words>5245</Words>
  <Characters>29897</Characters>
  <Application>Microsoft Office Word</Application>
  <DocSecurity>0</DocSecurity>
  <Lines>249</Lines>
  <Paragraphs>70</Paragraphs>
  <ScaleCrop>false</ScaleCrop>
  <Company/>
  <LinksUpToDate>false</LinksUpToDate>
  <CharactersWithSpaces>35072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Hanlon</dc:creator>
  <cp:lastModifiedBy>Richard Pollentine</cp:lastModifiedBy>
  <cp:revision>2</cp:revision>
  <dcterms:created xsi:type="dcterms:W3CDTF">2024-12-18T14:16:00Z</dcterms:created>
  <dcterms:modified xsi:type="dcterms:W3CDTF">2025-01-08T09:49:00Z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lato Template">
    <vt:lpwstr>uk-blank</vt:lpwstr>
  </property>
  <property fmtid="{D5CDD505-2E9C-101B-9397-08002B2CF9AE}" pid="3" name="Plato Template Version">
    <vt:lpwstr>1.1</vt:lpwstr>
  </property>
  <property fmtid="{D5CDD505-2E9C-101B-9397-08002B2CF9AE}" pid="4" name="Plato Language">
    <vt:lpwstr>en_GB</vt:lpwstr>
  </property>
  <property fmtid="{D5CDD505-2E9C-101B-9397-08002B2CF9AE}" pid="5" name="Plato Office">
    <vt:lpwstr>LIVEPL</vt:lpwstr>
  </property>
  <property fmtid="{D5CDD505-2E9C-101B-9397-08002B2CF9AE}" pid="6" name="Plato Jurisdiction">
    <vt:lpwstr>ENW</vt:lpwstr>
  </property>
  <property fmtid="{D5CDD505-2E9C-101B-9397-08002B2CF9AE}" pid="7" name="gCurrentVersion">
    <vt:lpwstr>17 November 2017 D1V5</vt:lpwstr>
  </property>
  <property fmtid="{D5CDD505-2E9C-101B-9397-08002B2CF9AE}" pid="8" name="ContentTypeId">
    <vt:lpwstr>0x0101009CEFB75345CA724198A07DE6383DACB7</vt:lpwstr>
  </property>
  <property fmtid="{D5CDD505-2E9C-101B-9397-08002B2CF9AE}" pid="9" name="MSIP_Label_d8a60473-494b-4586-a1bb-b0e663054676_Enabled">
    <vt:lpwstr>true</vt:lpwstr>
  </property>
  <property fmtid="{D5CDD505-2E9C-101B-9397-08002B2CF9AE}" pid="10" name="MSIP_Label_d8a60473-494b-4586-a1bb-b0e663054676_SetDate">
    <vt:lpwstr>2024-03-07T16:54:38Z</vt:lpwstr>
  </property>
  <property fmtid="{D5CDD505-2E9C-101B-9397-08002B2CF9AE}" pid="11" name="MSIP_Label_d8a60473-494b-4586-a1bb-b0e663054676_Method">
    <vt:lpwstr>Privileged</vt:lpwstr>
  </property>
  <property fmtid="{D5CDD505-2E9C-101B-9397-08002B2CF9AE}" pid="12" name="MSIP_Label_d8a60473-494b-4586-a1bb-b0e663054676_Name">
    <vt:lpwstr>MOD-1-O-‘UNMARKED’</vt:lpwstr>
  </property>
  <property fmtid="{D5CDD505-2E9C-101B-9397-08002B2CF9AE}" pid="13" name="MSIP_Label_d8a60473-494b-4586-a1bb-b0e663054676_SiteId">
    <vt:lpwstr>be7760ed-5953-484b-ae95-d0a16dfa09e5</vt:lpwstr>
  </property>
  <property fmtid="{D5CDD505-2E9C-101B-9397-08002B2CF9AE}" pid="14" name="MSIP_Label_d8a60473-494b-4586-a1bb-b0e663054676_ActionId">
    <vt:lpwstr>988f5ec4-29bd-4227-a921-69b3a7960f6a</vt:lpwstr>
  </property>
  <property fmtid="{D5CDD505-2E9C-101B-9397-08002B2CF9AE}" pid="15" name="MSIP_Label_d8a60473-494b-4586-a1bb-b0e663054676_ContentBits">
    <vt:lpwstr>0</vt:lpwstr>
  </property>
  <property fmtid="{D5CDD505-2E9C-101B-9397-08002B2CF9AE}" pid="16" name="MediaServiceImageTags">
    <vt:lpwstr>MediaServiceImageTags</vt:lpwstr>
  </property>
</Properties>
</file>